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5E16DA">
      <w:pPr>
        <w:spacing w:line="360" w:lineRule="auto"/>
        <w:jc w:val="center"/>
        <w:rPr>
          <w:rFonts w:hint="eastAsia" w:ascii="宋体" w:hAnsi="宋体" w:cs="宋体"/>
          <w:b/>
          <w:bCs/>
          <w:sz w:val="52"/>
          <w:szCs w:val="52"/>
        </w:rPr>
      </w:pPr>
      <w:bookmarkStart w:id="330" w:name="_GoBack"/>
      <w:bookmarkEnd w:id="330"/>
      <w:r>
        <w:rPr>
          <w:rFonts w:hint="eastAsia" w:ascii="宋体" w:hAnsi="宋体" w:cs="宋体"/>
          <w:b/>
          <w:bCs/>
          <w:sz w:val="52"/>
          <w:szCs w:val="52"/>
        </w:rPr>
        <w:t>清河县国民经济和社会发展</w:t>
      </w:r>
    </w:p>
    <w:p w14:paraId="04001AAB">
      <w:pPr>
        <w:spacing w:line="360" w:lineRule="auto"/>
        <w:jc w:val="center"/>
        <w:rPr>
          <w:rFonts w:hint="eastAsia" w:ascii="宋体" w:hAnsi="宋体" w:cs="宋体"/>
          <w:b/>
          <w:bCs/>
          <w:sz w:val="52"/>
          <w:szCs w:val="52"/>
        </w:rPr>
      </w:pPr>
      <w:r>
        <w:rPr>
          <w:rFonts w:hint="eastAsia" w:ascii="宋体" w:hAnsi="宋体" w:cs="宋体"/>
          <w:b/>
          <w:bCs/>
          <w:sz w:val="52"/>
          <w:szCs w:val="52"/>
        </w:rPr>
        <w:t>第十四个五年规划和二〇三五年</w:t>
      </w:r>
    </w:p>
    <w:p w14:paraId="2257BEF2">
      <w:pPr>
        <w:spacing w:line="360" w:lineRule="auto"/>
        <w:jc w:val="center"/>
        <w:rPr>
          <w:rFonts w:hint="eastAsia" w:ascii="宋体" w:hAnsi="宋体" w:cs="宋体"/>
          <w:b/>
          <w:bCs/>
          <w:sz w:val="52"/>
          <w:szCs w:val="52"/>
        </w:rPr>
      </w:pPr>
      <w:r>
        <w:rPr>
          <w:rFonts w:hint="eastAsia" w:ascii="宋体" w:hAnsi="宋体" w:cs="宋体"/>
          <w:b/>
          <w:bCs/>
          <w:sz w:val="52"/>
          <w:szCs w:val="52"/>
        </w:rPr>
        <w:t>远景目标纲要</w:t>
      </w:r>
    </w:p>
    <w:p w14:paraId="0B4D3715">
      <w:pPr>
        <w:jc w:val="center"/>
        <w:rPr>
          <w:rFonts w:hint="eastAsia" w:ascii="黑体" w:hAnsi="黑体" w:eastAsia="黑体" w:cs="黑体"/>
          <w:sz w:val="52"/>
          <w:szCs w:val="52"/>
        </w:rPr>
      </w:pPr>
    </w:p>
    <w:p w14:paraId="030D2D16">
      <w:pPr>
        <w:jc w:val="center"/>
        <w:rPr>
          <w:rFonts w:hint="eastAsia" w:ascii="黑体" w:hAnsi="黑体" w:eastAsia="黑体" w:cs="黑体"/>
          <w:sz w:val="52"/>
          <w:szCs w:val="52"/>
        </w:rPr>
      </w:pPr>
    </w:p>
    <w:p w14:paraId="15B0CF11">
      <w:pPr>
        <w:jc w:val="center"/>
        <w:rPr>
          <w:rFonts w:hint="eastAsia" w:ascii="黑体" w:hAnsi="黑体" w:eastAsia="黑体" w:cs="黑体"/>
          <w:sz w:val="52"/>
          <w:szCs w:val="52"/>
        </w:rPr>
      </w:pPr>
    </w:p>
    <w:p w14:paraId="163AFD6C">
      <w:pPr>
        <w:jc w:val="center"/>
        <w:rPr>
          <w:rFonts w:hint="eastAsia" w:ascii="黑体" w:hAnsi="黑体" w:eastAsia="黑体" w:cs="黑体"/>
          <w:sz w:val="52"/>
          <w:szCs w:val="52"/>
        </w:rPr>
      </w:pPr>
    </w:p>
    <w:p w14:paraId="00F56011">
      <w:pPr>
        <w:jc w:val="center"/>
        <w:rPr>
          <w:rFonts w:hint="eastAsia" w:ascii="黑体" w:hAnsi="黑体" w:eastAsia="黑体" w:cs="黑体"/>
          <w:sz w:val="52"/>
          <w:szCs w:val="52"/>
        </w:rPr>
      </w:pPr>
    </w:p>
    <w:p w14:paraId="7E0FBF52">
      <w:pPr>
        <w:jc w:val="center"/>
        <w:rPr>
          <w:rFonts w:hint="eastAsia" w:ascii="黑体" w:hAnsi="黑体" w:eastAsia="黑体" w:cs="黑体"/>
          <w:sz w:val="52"/>
          <w:szCs w:val="52"/>
        </w:rPr>
      </w:pPr>
    </w:p>
    <w:p w14:paraId="3CDE0810">
      <w:pPr>
        <w:jc w:val="center"/>
        <w:rPr>
          <w:rFonts w:hint="eastAsia" w:ascii="黑体" w:hAnsi="黑体" w:eastAsia="黑体" w:cs="黑体"/>
          <w:sz w:val="52"/>
          <w:szCs w:val="52"/>
        </w:rPr>
      </w:pPr>
    </w:p>
    <w:p w14:paraId="6009950D">
      <w:pPr>
        <w:jc w:val="center"/>
        <w:rPr>
          <w:rFonts w:hint="eastAsia" w:ascii="黑体" w:hAnsi="黑体" w:eastAsia="黑体" w:cs="黑体"/>
          <w:sz w:val="52"/>
          <w:szCs w:val="52"/>
        </w:rPr>
      </w:pPr>
    </w:p>
    <w:p w14:paraId="17152E3E">
      <w:pPr>
        <w:jc w:val="center"/>
        <w:rPr>
          <w:rFonts w:hint="eastAsia" w:ascii="楷体" w:hAnsi="楷体" w:eastAsia="楷体" w:cs="楷体"/>
          <w:sz w:val="44"/>
          <w:szCs w:val="44"/>
        </w:rPr>
      </w:pPr>
    </w:p>
    <w:p w14:paraId="43731FE3">
      <w:pPr>
        <w:jc w:val="center"/>
        <w:rPr>
          <w:rFonts w:hint="eastAsia" w:ascii="楷体" w:hAnsi="楷体" w:eastAsia="楷体" w:cs="楷体"/>
          <w:sz w:val="44"/>
          <w:szCs w:val="44"/>
        </w:rPr>
      </w:pPr>
    </w:p>
    <w:p w14:paraId="4D45B7FD">
      <w:pPr>
        <w:jc w:val="center"/>
        <w:rPr>
          <w:rFonts w:hint="eastAsia" w:ascii="楷体" w:hAnsi="楷体" w:eastAsia="楷体" w:cs="楷体"/>
          <w:sz w:val="44"/>
          <w:szCs w:val="44"/>
        </w:rPr>
      </w:pPr>
    </w:p>
    <w:p w14:paraId="09A5A6A7">
      <w:pPr>
        <w:jc w:val="center"/>
        <w:rPr>
          <w:rFonts w:hint="eastAsia" w:ascii="楷体" w:hAnsi="楷体" w:eastAsia="楷体" w:cs="楷体"/>
          <w:sz w:val="36"/>
          <w:szCs w:val="36"/>
        </w:rPr>
      </w:pPr>
      <w:r>
        <w:rPr>
          <w:rFonts w:hint="eastAsia" w:ascii="楷体" w:hAnsi="楷体" w:eastAsia="楷体" w:cs="楷体"/>
          <w:sz w:val="36"/>
          <w:szCs w:val="36"/>
        </w:rPr>
        <w:t>二〇二一年二月</w:t>
      </w:r>
    </w:p>
    <w:p w14:paraId="48673BAA">
      <w:pPr>
        <w:jc w:val="center"/>
        <w:rPr>
          <w:rFonts w:hint="eastAsia" w:ascii="楷体" w:hAnsi="楷体" w:eastAsia="楷体" w:cs="楷体"/>
          <w:sz w:val="36"/>
          <w:szCs w:val="36"/>
        </w:rPr>
      </w:pPr>
    </w:p>
    <w:p w14:paraId="51261509">
      <w:pPr>
        <w:spacing w:line="360" w:lineRule="auto"/>
        <w:rPr>
          <w:rFonts w:hint="eastAsia" w:ascii="黑体" w:hAnsi="宋体" w:eastAsia="黑体"/>
          <w:sz w:val="28"/>
          <w:szCs w:val="28"/>
        </w:rPr>
      </w:pPr>
    </w:p>
    <w:p w14:paraId="3DE0ED2B">
      <w:pPr>
        <w:jc w:val="center"/>
        <w:rPr>
          <w:rFonts w:hint="eastAsia" w:ascii="黑体" w:hAnsi="黑体" w:eastAsia="黑体" w:cs="黑体"/>
          <w:sz w:val="52"/>
          <w:szCs w:val="52"/>
        </w:rPr>
      </w:pPr>
    </w:p>
    <w:p w14:paraId="29A00BBC">
      <w:pPr>
        <w:spacing w:line="360" w:lineRule="auto"/>
        <w:rPr>
          <w:rFonts w:hint="eastAsia" w:ascii="黑体" w:hAnsi="宋体" w:eastAsia="黑体"/>
          <w:sz w:val="28"/>
          <w:szCs w:val="28"/>
        </w:rPr>
        <w:sectPr>
          <w:footerReference r:id="rId3" w:type="first"/>
          <w:pgSz w:w="11906" w:h="16838"/>
          <w:pgMar w:top="1984" w:right="1531" w:bottom="1701" w:left="1531" w:header="851" w:footer="1247" w:gutter="0"/>
          <w:pgNumType w:fmt="numberInDash" w:start="1"/>
          <w:cols w:space="0" w:num="1"/>
          <w:titlePg/>
          <w:docGrid w:type="lines" w:linePitch="312" w:charSpace="0"/>
        </w:sectPr>
      </w:pPr>
    </w:p>
    <w:p w14:paraId="385A74F4">
      <w:pPr>
        <w:jc w:val="center"/>
        <w:rPr>
          <w:rFonts w:hint="eastAsia" w:ascii="宋体" w:hAnsi="宋体"/>
          <w:bCs/>
          <w:szCs w:val="21"/>
        </w:rPr>
      </w:pPr>
    </w:p>
    <w:p w14:paraId="0A47524C">
      <w:pPr>
        <w:spacing w:line="360" w:lineRule="auto"/>
        <w:ind w:left="2129" w:leftChars="228" w:hanging="1650" w:hangingChars="550"/>
        <w:rPr>
          <w:rFonts w:hint="eastAsia" w:ascii="黑体" w:hAnsi="宋体" w:eastAsia="黑体"/>
          <w:sz w:val="30"/>
          <w:szCs w:val="30"/>
        </w:rPr>
      </w:pPr>
      <w:r>
        <w:rPr>
          <w:rFonts w:hint="eastAsia" w:ascii="黑体" w:hAnsi="宋体" w:eastAsia="黑体"/>
          <w:sz w:val="30"/>
          <w:szCs w:val="30"/>
        </w:rPr>
        <w:t>项目名称：清河县国民经济和社会发展第十四个五年规划和</w:t>
      </w:r>
    </w:p>
    <w:p w14:paraId="413D7188">
      <w:pPr>
        <w:spacing w:line="360" w:lineRule="auto"/>
        <w:ind w:left="2120" w:leftChars="938" w:hanging="150" w:hangingChars="50"/>
        <w:rPr>
          <w:rFonts w:hint="eastAsia" w:ascii="黑体" w:hAnsi="宋体" w:eastAsia="黑体"/>
          <w:sz w:val="30"/>
          <w:szCs w:val="30"/>
        </w:rPr>
      </w:pPr>
      <w:r>
        <w:rPr>
          <w:rFonts w:hint="eastAsia" w:ascii="黑体" w:hAnsi="宋体" w:eastAsia="黑体"/>
          <w:sz w:val="30"/>
          <w:szCs w:val="30"/>
        </w:rPr>
        <w:t>二〇三五年远景目标纲要</w:t>
      </w:r>
    </w:p>
    <w:p w14:paraId="3AF244D6">
      <w:pPr>
        <w:spacing w:line="360" w:lineRule="auto"/>
        <w:ind w:firstLine="360" w:firstLineChars="150"/>
        <w:rPr>
          <w:rFonts w:hint="eastAsia" w:ascii="黑体" w:hAnsi="宋体" w:eastAsia="黑体"/>
          <w:sz w:val="24"/>
        </w:rPr>
      </w:pPr>
    </w:p>
    <w:p w14:paraId="46B87EA4">
      <w:pPr>
        <w:spacing w:line="360" w:lineRule="auto"/>
        <w:ind w:firstLine="360" w:firstLineChars="150"/>
        <w:rPr>
          <w:rFonts w:hint="eastAsia" w:ascii="黑体" w:hAnsi="宋体" w:eastAsia="黑体"/>
          <w:sz w:val="24"/>
        </w:rPr>
      </w:pPr>
      <w:r>
        <w:rPr>
          <w:rFonts w:hint="eastAsia" w:ascii="黑体" w:hAnsi="宋体" w:eastAsia="黑体"/>
          <w:sz w:val="24"/>
        </w:rPr>
        <w:t>委托方（甲方）：清河县发展和改革局</w:t>
      </w:r>
    </w:p>
    <w:p w14:paraId="4156866D">
      <w:pPr>
        <w:spacing w:line="360" w:lineRule="auto"/>
        <w:ind w:firstLine="360" w:firstLineChars="150"/>
        <w:rPr>
          <w:rFonts w:ascii="黑体" w:hAnsi="宋体" w:eastAsia="黑体"/>
          <w:sz w:val="24"/>
        </w:rPr>
      </w:pPr>
      <w:r>
        <w:rPr>
          <w:rFonts w:hint="eastAsia" w:ascii="黑体" w:hAnsi="宋体" w:eastAsia="黑体"/>
          <w:sz w:val="24"/>
        </w:rPr>
        <w:t>参与编制部门：清河县“十四五”规划编制领导小组</w:t>
      </w:r>
    </w:p>
    <w:p w14:paraId="394E4F7B">
      <w:pPr>
        <w:spacing w:line="360" w:lineRule="auto"/>
        <w:ind w:firstLine="360" w:firstLineChars="150"/>
        <w:rPr>
          <w:rFonts w:hint="eastAsia" w:ascii="黑体" w:hAnsi="宋体" w:eastAsia="黑体"/>
          <w:sz w:val="24"/>
        </w:rPr>
      </w:pPr>
    </w:p>
    <w:p w14:paraId="7D5137C7">
      <w:pPr>
        <w:spacing w:line="360" w:lineRule="auto"/>
        <w:ind w:firstLine="360" w:firstLineChars="150"/>
        <w:rPr>
          <w:rFonts w:hint="eastAsia" w:ascii="黑体" w:hAnsi="宋体" w:eastAsia="黑体"/>
          <w:sz w:val="24"/>
        </w:rPr>
      </w:pPr>
      <w:r>
        <w:rPr>
          <w:rFonts w:hint="eastAsia" w:ascii="黑体" w:hAnsi="宋体" w:eastAsia="黑体"/>
          <w:sz w:val="24"/>
        </w:rPr>
        <w:t>承担方（乙方）：邢台市规划设计研究院</w:t>
      </w:r>
    </w:p>
    <w:p w14:paraId="3192B9CB">
      <w:pPr>
        <w:spacing w:line="360" w:lineRule="auto"/>
        <w:ind w:firstLine="360" w:firstLineChars="150"/>
        <w:rPr>
          <w:rFonts w:hint="eastAsia" w:ascii="黑体" w:hAnsi="宋体" w:eastAsia="黑体"/>
          <w:sz w:val="24"/>
        </w:rPr>
      </w:pPr>
      <w:r>
        <w:rPr>
          <w:rFonts w:hint="eastAsia" w:ascii="黑体" w:hAnsi="宋体" w:eastAsia="黑体"/>
          <w:sz w:val="24"/>
        </w:rPr>
        <w:t>邢台市规划设计研究院规划编制资质证书等级：甲级</w:t>
      </w:r>
    </w:p>
    <w:p w14:paraId="05068573">
      <w:pPr>
        <w:spacing w:line="360" w:lineRule="auto"/>
        <w:ind w:firstLine="360" w:firstLineChars="150"/>
        <w:rPr>
          <w:rFonts w:hint="eastAsia" w:ascii="黑体" w:hAnsi="宋体" w:eastAsia="黑体"/>
          <w:sz w:val="24"/>
        </w:rPr>
      </w:pPr>
      <w:r>
        <w:rPr>
          <w:rFonts w:hint="eastAsia" w:ascii="黑体" w:hAnsi="宋体" w:eastAsia="黑体"/>
          <w:sz w:val="24"/>
        </w:rPr>
        <w:t>邢台市规划设计研究院规划编制资质证书编号：[建] 城规编（141046）</w:t>
      </w:r>
    </w:p>
    <w:p w14:paraId="421EDB9F">
      <w:pPr>
        <w:spacing w:line="360" w:lineRule="auto"/>
        <w:rPr>
          <w:rFonts w:hint="eastAsia" w:ascii="黑体" w:hAnsi="宋体" w:eastAsia="黑体"/>
          <w:sz w:val="24"/>
        </w:rPr>
      </w:pPr>
      <w:r>
        <w:rPr>
          <w:rFonts w:hint="eastAsia" w:ascii="黑体" w:hAnsi="宋体" w:eastAsia="黑体"/>
          <w:sz w:val="24"/>
        </w:rPr>
        <w:t xml:space="preserve"> </w:t>
      </w:r>
    </w:p>
    <w:p w14:paraId="3D27674F">
      <w:pPr>
        <w:spacing w:line="360" w:lineRule="auto"/>
        <w:ind w:firstLine="420" w:firstLineChars="150"/>
        <w:rPr>
          <w:rFonts w:hint="eastAsia" w:ascii="黑体" w:hAnsi="宋体" w:eastAsia="黑体"/>
          <w:spacing w:val="20"/>
          <w:sz w:val="24"/>
        </w:rPr>
      </w:pPr>
      <w:r>
        <w:rPr>
          <w:rFonts w:hint="eastAsia" w:ascii="黑体" w:hAnsi="宋体" w:eastAsia="黑体"/>
          <w:spacing w:val="20"/>
          <w:sz w:val="24"/>
        </w:rPr>
        <w:t>法人代表：王风军  院  长     正高级规划师</w:t>
      </w:r>
    </w:p>
    <w:p w14:paraId="2253F95E">
      <w:pPr>
        <w:spacing w:line="360" w:lineRule="auto"/>
        <w:ind w:firstLine="420" w:firstLineChars="150"/>
        <w:rPr>
          <w:rFonts w:hint="eastAsia" w:ascii="黑体" w:hAnsi="宋体" w:eastAsia="黑体"/>
          <w:spacing w:val="20"/>
          <w:sz w:val="24"/>
        </w:rPr>
      </w:pPr>
      <w:r>
        <w:rPr>
          <w:rFonts w:hint="eastAsia" w:ascii="黑体" w:hAnsi="宋体" w:eastAsia="黑体"/>
          <w:spacing w:val="20"/>
          <w:sz w:val="24"/>
        </w:rPr>
        <w:t>主管院长：乔双全  高级工程师  注册城乡规划师</w:t>
      </w:r>
    </w:p>
    <w:p w14:paraId="400FF2FC">
      <w:pPr>
        <w:spacing w:line="360" w:lineRule="auto"/>
        <w:ind w:firstLine="420" w:firstLineChars="150"/>
        <w:rPr>
          <w:rFonts w:hint="eastAsia" w:ascii="黑体" w:hAnsi="宋体" w:eastAsia="黑体"/>
          <w:spacing w:val="20"/>
          <w:sz w:val="24"/>
        </w:rPr>
      </w:pPr>
      <w:r>
        <w:rPr>
          <w:rFonts w:hint="eastAsia" w:ascii="黑体" w:hAnsi="宋体" w:eastAsia="黑体"/>
          <w:spacing w:val="20"/>
          <w:sz w:val="24"/>
        </w:rPr>
        <w:t>总工程师：王诒建  高级工程师  注册城乡规划师</w:t>
      </w:r>
    </w:p>
    <w:p w14:paraId="0C453AF5">
      <w:pPr>
        <w:spacing w:line="360" w:lineRule="auto"/>
        <w:ind w:firstLine="360" w:firstLineChars="150"/>
        <w:rPr>
          <w:rFonts w:hint="eastAsia" w:ascii="黑体" w:hAnsi="宋体" w:eastAsia="黑体"/>
          <w:sz w:val="24"/>
        </w:rPr>
        <w:sectPr>
          <w:pgSz w:w="11906" w:h="16838"/>
          <w:pgMar w:top="1984" w:right="1531" w:bottom="1701" w:left="1531" w:header="851" w:footer="1247" w:gutter="0"/>
          <w:pgNumType w:fmt="numberInDash" w:start="1"/>
          <w:cols w:space="0" w:num="1"/>
          <w:titlePg/>
          <w:docGrid w:type="lines" w:linePitch="312" w:charSpace="0"/>
        </w:sectPr>
      </w:pPr>
      <w:r>
        <w:rPr>
          <w:rFonts w:ascii="黑体" w:hAnsi="宋体" w:eastAsia="黑体"/>
          <w:sz w:val="24"/>
        </w:rPr>
        <w:drawing>
          <wp:anchor distT="0" distB="0" distL="114300" distR="114300" simplePos="0" relativeHeight="251659264" behindDoc="0" locked="0" layoutInCell="1" allowOverlap="1">
            <wp:simplePos x="0" y="0"/>
            <wp:positionH relativeFrom="column">
              <wp:posOffset>-281305</wp:posOffset>
            </wp:positionH>
            <wp:positionV relativeFrom="paragraph">
              <wp:posOffset>340995</wp:posOffset>
            </wp:positionV>
            <wp:extent cx="5993130" cy="4243705"/>
            <wp:effectExtent l="0" t="0" r="7620" b="4445"/>
            <wp:wrapSquare wrapText="bothSides"/>
            <wp:docPr id="1" name="图片 2" descr="资质证书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资质证书2014"/>
                    <pic:cNvPicPr>
                      <a:picLocks noChangeAspect="1"/>
                    </pic:cNvPicPr>
                  </pic:nvPicPr>
                  <pic:blipFill>
                    <a:blip r:embed="rId11"/>
                    <a:stretch>
                      <a:fillRect/>
                    </a:stretch>
                  </pic:blipFill>
                  <pic:spPr>
                    <a:xfrm>
                      <a:off x="0" y="0"/>
                      <a:ext cx="5993130" cy="4243705"/>
                    </a:xfrm>
                    <a:prstGeom prst="rect">
                      <a:avLst/>
                    </a:prstGeom>
                    <a:noFill/>
                    <a:ln>
                      <a:noFill/>
                    </a:ln>
                  </pic:spPr>
                </pic:pic>
              </a:graphicData>
            </a:graphic>
          </wp:anchor>
        </w:drawing>
      </w:r>
      <w:r>
        <w:rPr>
          <w:rFonts w:hint="eastAsia" w:ascii="黑体" w:hAnsi="宋体" w:eastAsia="黑体"/>
          <w:sz w:val="24"/>
        </w:rPr>
        <w:t>城乡规划编制资质证书：</w:t>
      </w:r>
    </w:p>
    <w:p w14:paraId="1AE8DF55">
      <w:pPr>
        <w:spacing w:line="360" w:lineRule="auto"/>
        <w:ind w:firstLine="360" w:firstLineChars="150"/>
        <w:rPr>
          <w:rFonts w:hint="eastAsia" w:ascii="黑体" w:hAnsi="宋体" w:eastAsia="黑体"/>
          <w:sz w:val="24"/>
        </w:rPr>
        <w:sectPr>
          <w:pgSz w:w="11906" w:h="16838"/>
          <w:pgMar w:top="1984" w:right="1531" w:bottom="1701" w:left="1531" w:header="851" w:footer="1247" w:gutter="0"/>
          <w:pgNumType w:fmt="numberInDash" w:start="1"/>
          <w:cols w:space="0" w:num="1"/>
          <w:titlePg/>
          <w:docGrid w:type="lines" w:linePitch="312" w:charSpace="0"/>
        </w:sectPr>
      </w:pPr>
    </w:p>
    <w:p w14:paraId="539B9C23">
      <w:pPr>
        <w:spacing w:line="360" w:lineRule="auto"/>
        <w:ind w:firstLine="360" w:firstLineChars="150"/>
        <w:rPr>
          <w:rFonts w:hint="eastAsia" w:ascii="黑体" w:hAnsi="宋体" w:eastAsia="黑体"/>
          <w:sz w:val="24"/>
        </w:rPr>
      </w:pPr>
    </w:p>
    <w:p w14:paraId="002225D4">
      <w:pPr>
        <w:jc w:val="center"/>
        <w:rPr>
          <w:rFonts w:hint="eastAsia" w:ascii="宋体" w:hAnsi="宋体"/>
          <w:bCs/>
          <w:szCs w:val="21"/>
        </w:rPr>
      </w:pPr>
    </w:p>
    <w:p w14:paraId="48BAB915">
      <w:pPr>
        <w:spacing w:line="360" w:lineRule="auto"/>
        <w:ind w:firstLine="360" w:firstLineChars="150"/>
        <w:rPr>
          <w:rFonts w:hint="eastAsia" w:ascii="黑体" w:hAnsi="宋体" w:eastAsia="黑体"/>
          <w:sz w:val="24"/>
        </w:rPr>
      </w:pPr>
      <w:r>
        <w:rPr>
          <w:rFonts w:hint="eastAsia" w:ascii="黑体" w:hAnsi="宋体" w:eastAsia="黑体"/>
          <w:sz w:val="24"/>
        </w:rPr>
        <w:t>所主管领导： 李永刚    工程师</w:t>
      </w:r>
    </w:p>
    <w:p w14:paraId="52A8BC2C">
      <w:pPr>
        <w:spacing w:line="600" w:lineRule="exact"/>
        <w:ind w:firstLine="360" w:firstLineChars="150"/>
        <w:rPr>
          <w:rFonts w:ascii="黑体" w:hAnsi="宋体" w:eastAsia="黑体"/>
          <w:sz w:val="24"/>
        </w:rPr>
      </w:pPr>
      <w:r>
        <w:rPr>
          <w:rFonts w:hint="eastAsia" w:ascii="黑体" w:hAnsi="宋体" w:eastAsia="黑体"/>
          <w:sz w:val="24"/>
        </w:rPr>
        <w:t>项目负责人： 李永刚    工程师</w:t>
      </w:r>
    </w:p>
    <w:p w14:paraId="108F706A">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hint="eastAsia" w:ascii="黑体" w:hAnsi="宋体" w:eastAsia="黑体"/>
          <w:sz w:val="24"/>
        </w:rPr>
      </w:pPr>
      <w:r>
        <w:rPr>
          <w:rFonts w:hint="eastAsia" w:ascii="黑体" w:hAnsi="宋体" w:eastAsia="黑体"/>
          <w:sz w:val="24"/>
        </w:rPr>
        <w:t>项目组成员： 王军英    高级工程师  经济学博士</w:t>
      </w:r>
    </w:p>
    <w:p w14:paraId="56B0D994">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hint="eastAsia" w:ascii="黑体" w:hAnsi="宋体" w:eastAsia="黑体"/>
          <w:sz w:val="24"/>
        </w:rPr>
      </w:pPr>
      <w:r>
        <w:rPr>
          <w:rFonts w:hint="eastAsia" w:ascii="黑体" w:hAnsi="宋体" w:eastAsia="黑体"/>
          <w:sz w:val="24"/>
        </w:rPr>
        <w:t xml:space="preserve">             刘  彦    高级工程师  </w:t>
      </w:r>
    </w:p>
    <w:p w14:paraId="77ED4DB4">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hint="eastAsia" w:ascii="黑体" w:hAnsi="宋体" w:eastAsia="黑体"/>
          <w:sz w:val="24"/>
          <w:lang w:val="en-US" w:eastAsia="zh-CN"/>
        </w:rPr>
      </w:pPr>
      <w:r>
        <w:rPr>
          <w:rFonts w:hint="eastAsia" w:ascii="黑体" w:hAnsi="宋体" w:eastAsia="黑体"/>
          <w:sz w:val="24"/>
        </w:rPr>
        <w:t xml:space="preserve">             金自强    工程师</w:t>
      </w:r>
      <w:r>
        <w:rPr>
          <w:rFonts w:hint="eastAsia" w:ascii="黑体" w:hAnsi="宋体" w:eastAsia="黑体"/>
          <w:sz w:val="24"/>
          <w:lang w:val="en-US" w:eastAsia="zh-CN"/>
        </w:rPr>
        <w:t xml:space="preserve"> </w:t>
      </w:r>
    </w:p>
    <w:p w14:paraId="7DD30A71">
      <w:pPr>
        <w:keepNext w:val="0"/>
        <w:keepLines w:val="0"/>
        <w:pageBreakBefore w:val="0"/>
        <w:widowControl w:val="0"/>
        <w:kinsoku/>
        <w:wordWrap/>
        <w:overflowPunct/>
        <w:topLinePunct w:val="0"/>
        <w:autoSpaceDE/>
        <w:autoSpaceDN/>
        <w:bidi w:val="0"/>
        <w:adjustRightInd/>
        <w:snapToGrid/>
        <w:spacing w:line="360" w:lineRule="auto"/>
        <w:ind w:firstLine="1920" w:firstLineChars="800"/>
        <w:textAlignment w:val="auto"/>
        <w:rPr>
          <w:rFonts w:hint="default" w:ascii="黑体" w:hAnsi="宋体" w:eastAsia="黑体"/>
          <w:sz w:val="24"/>
          <w:lang w:val="en-US" w:eastAsia="zh-CN"/>
        </w:rPr>
      </w:pPr>
      <w:r>
        <w:rPr>
          <w:rFonts w:hint="eastAsia" w:ascii="黑体" w:hAnsi="宋体" w:eastAsia="黑体"/>
          <w:sz w:val="24"/>
          <w:lang w:val="en-US" w:eastAsia="zh-CN"/>
        </w:rPr>
        <w:t>陈会强    工程师</w:t>
      </w:r>
    </w:p>
    <w:p w14:paraId="3FBE62E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eastAsia" w:ascii="黑体" w:hAnsi="宋体" w:eastAsia="黑体"/>
          <w:sz w:val="24"/>
          <w:lang w:val="en-US" w:eastAsia="zh-CN"/>
        </w:rPr>
        <w:t xml:space="preserve">                李绍科    工程师</w:t>
      </w:r>
    </w:p>
    <w:p w14:paraId="1DBF8E80">
      <w:pPr>
        <w:keepNext w:val="0"/>
        <w:keepLines w:val="0"/>
        <w:pageBreakBefore w:val="0"/>
        <w:widowControl w:val="0"/>
        <w:kinsoku/>
        <w:wordWrap/>
        <w:overflowPunct/>
        <w:topLinePunct w:val="0"/>
        <w:autoSpaceDE/>
        <w:autoSpaceDN/>
        <w:bidi w:val="0"/>
        <w:adjustRightInd/>
        <w:snapToGrid/>
        <w:spacing w:line="360" w:lineRule="auto"/>
        <w:ind w:firstLine="1920" w:firstLineChars="800"/>
        <w:textAlignment w:val="auto"/>
        <w:rPr>
          <w:rFonts w:hint="eastAsia" w:ascii="黑体" w:hAnsi="宋体" w:eastAsia="黑体"/>
          <w:sz w:val="24"/>
        </w:rPr>
      </w:pPr>
      <w:r>
        <w:rPr>
          <w:rFonts w:hint="eastAsia" w:ascii="黑体" w:hAnsi="宋体" w:eastAsia="黑体"/>
          <w:sz w:val="24"/>
        </w:rPr>
        <w:t xml:space="preserve">刘  乐    工程师 </w:t>
      </w:r>
    </w:p>
    <w:p w14:paraId="68ACABFF">
      <w:pPr>
        <w:keepNext w:val="0"/>
        <w:keepLines w:val="0"/>
        <w:pageBreakBefore w:val="0"/>
        <w:widowControl w:val="0"/>
        <w:kinsoku/>
        <w:wordWrap/>
        <w:overflowPunct/>
        <w:topLinePunct w:val="0"/>
        <w:autoSpaceDE/>
        <w:autoSpaceDN/>
        <w:bidi w:val="0"/>
        <w:adjustRightInd/>
        <w:snapToGrid/>
        <w:spacing w:line="360" w:lineRule="auto"/>
        <w:ind w:firstLine="1920" w:firstLineChars="800"/>
        <w:textAlignment w:val="auto"/>
        <w:rPr>
          <w:rFonts w:hint="eastAsia" w:ascii="黑体" w:hAnsi="宋体" w:eastAsia="黑体"/>
          <w:sz w:val="24"/>
        </w:rPr>
      </w:pPr>
      <w:r>
        <w:rPr>
          <w:rFonts w:hint="eastAsia" w:ascii="黑体" w:hAnsi="宋体" w:eastAsia="黑体"/>
          <w:sz w:val="24"/>
        </w:rPr>
        <w:t>赵亚芸    助理工程师</w:t>
      </w:r>
    </w:p>
    <w:p w14:paraId="58A6F45D">
      <w:pPr>
        <w:keepNext w:val="0"/>
        <w:keepLines w:val="0"/>
        <w:pageBreakBefore w:val="0"/>
        <w:widowControl w:val="0"/>
        <w:kinsoku/>
        <w:wordWrap/>
        <w:overflowPunct/>
        <w:topLinePunct w:val="0"/>
        <w:autoSpaceDE/>
        <w:autoSpaceDN/>
        <w:bidi w:val="0"/>
        <w:adjustRightInd/>
        <w:snapToGrid/>
        <w:spacing w:line="360" w:lineRule="auto"/>
        <w:ind w:firstLine="1920" w:firstLineChars="800"/>
        <w:textAlignment w:val="auto"/>
        <w:rPr>
          <w:rFonts w:hint="eastAsia" w:ascii="黑体" w:hAnsi="宋体" w:eastAsia="黑体"/>
          <w:sz w:val="24"/>
        </w:rPr>
      </w:pPr>
      <w:r>
        <w:rPr>
          <w:rFonts w:hint="eastAsia" w:ascii="黑体" w:hAnsi="宋体" w:eastAsia="黑体"/>
          <w:sz w:val="24"/>
        </w:rPr>
        <w:t>李  玲    助理工程师</w:t>
      </w:r>
    </w:p>
    <w:p w14:paraId="7A66837C">
      <w:pPr>
        <w:keepNext w:val="0"/>
        <w:keepLines w:val="0"/>
        <w:pageBreakBefore w:val="0"/>
        <w:widowControl w:val="0"/>
        <w:kinsoku/>
        <w:wordWrap/>
        <w:overflowPunct/>
        <w:topLinePunct w:val="0"/>
        <w:autoSpaceDE/>
        <w:autoSpaceDN/>
        <w:bidi w:val="0"/>
        <w:adjustRightInd/>
        <w:snapToGrid/>
        <w:spacing w:line="360" w:lineRule="auto"/>
        <w:ind w:firstLine="1920" w:firstLineChars="800"/>
        <w:textAlignment w:val="auto"/>
        <w:rPr>
          <w:rFonts w:hint="eastAsia" w:ascii="黑体" w:hAnsi="宋体" w:eastAsia="黑体"/>
          <w:sz w:val="24"/>
        </w:rPr>
      </w:pPr>
      <w:r>
        <w:rPr>
          <w:rFonts w:hint="eastAsia" w:ascii="黑体" w:hAnsi="宋体" w:eastAsia="黑体"/>
          <w:sz w:val="24"/>
        </w:rPr>
        <w:t xml:space="preserve">袁首行    技术员        </w:t>
      </w:r>
    </w:p>
    <w:p w14:paraId="401116F0">
      <w:pPr>
        <w:spacing w:line="360" w:lineRule="auto"/>
        <w:rPr>
          <w:rFonts w:ascii="黑体" w:eastAsia="黑体"/>
          <w:sz w:val="28"/>
          <w:szCs w:val="28"/>
        </w:rPr>
      </w:pPr>
      <w:r>
        <w:rPr>
          <w:rFonts w:hint="eastAsia" w:ascii="黑体" w:eastAsia="黑体"/>
          <w:sz w:val="28"/>
          <w:szCs w:val="28"/>
        </w:rPr>
        <w:t xml:space="preserve">              </w:t>
      </w:r>
    </w:p>
    <w:p w14:paraId="5590B49B">
      <w:pPr>
        <w:spacing w:line="600" w:lineRule="exact"/>
        <w:rPr>
          <w:rFonts w:hint="eastAsia" w:ascii="黑体" w:eastAsia="黑体"/>
          <w:sz w:val="28"/>
          <w:szCs w:val="28"/>
        </w:rPr>
      </w:pPr>
    </w:p>
    <w:p w14:paraId="6E05C4DD">
      <w:pPr>
        <w:spacing w:line="600" w:lineRule="exact"/>
        <w:ind w:firstLine="360" w:firstLineChars="150"/>
        <w:rPr>
          <w:rFonts w:hint="eastAsia" w:ascii="黑体" w:hAnsi="宋体" w:eastAsia="黑体"/>
          <w:sz w:val="24"/>
        </w:rPr>
      </w:pPr>
      <w:r>
        <w:rPr>
          <w:rFonts w:hint="eastAsia" w:ascii="黑体" w:hAnsi="宋体" w:eastAsia="黑体"/>
          <w:sz w:val="24"/>
        </w:rPr>
        <w:t>城市规划编制技术专用章：</w:t>
      </w:r>
    </w:p>
    <w:p w14:paraId="0F8BA57A">
      <w:pPr>
        <w:spacing w:line="360" w:lineRule="auto"/>
        <w:rPr>
          <w:rFonts w:hint="eastAsia" w:ascii="黑体" w:eastAsia="黑体"/>
          <w:sz w:val="30"/>
          <w:szCs w:val="30"/>
        </w:rPr>
      </w:pPr>
    </w:p>
    <w:p w14:paraId="3FA17FA0">
      <w:pPr>
        <w:spacing w:line="360" w:lineRule="auto"/>
        <w:rPr>
          <w:rFonts w:hint="eastAsia" w:ascii="黑体" w:eastAsia="黑体"/>
          <w:sz w:val="30"/>
          <w:szCs w:val="30"/>
        </w:rPr>
      </w:pPr>
    </w:p>
    <w:p w14:paraId="1FED99FA">
      <w:pPr>
        <w:spacing w:line="360" w:lineRule="auto"/>
        <w:rPr>
          <w:rFonts w:hint="eastAsia" w:ascii="黑体" w:eastAsia="黑体"/>
          <w:sz w:val="30"/>
          <w:szCs w:val="30"/>
        </w:rPr>
      </w:pPr>
    </w:p>
    <w:p w14:paraId="68F5FA05">
      <w:pPr>
        <w:spacing w:line="360" w:lineRule="auto"/>
        <w:rPr>
          <w:rFonts w:hint="eastAsia" w:ascii="黑体" w:eastAsia="黑体"/>
          <w:sz w:val="30"/>
          <w:szCs w:val="30"/>
        </w:rPr>
      </w:pPr>
    </w:p>
    <w:p w14:paraId="1025C3D8">
      <w:pPr>
        <w:spacing w:line="360" w:lineRule="auto"/>
        <w:rPr>
          <w:rFonts w:hint="eastAsia" w:ascii="黑体" w:eastAsia="黑体"/>
          <w:sz w:val="30"/>
          <w:szCs w:val="30"/>
        </w:rPr>
      </w:pPr>
    </w:p>
    <w:p w14:paraId="3F1D19A1">
      <w:pPr>
        <w:spacing w:line="360" w:lineRule="auto"/>
        <w:rPr>
          <w:rFonts w:hint="eastAsia" w:ascii="黑体" w:eastAsia="黑体"/>
          <w:sz w:val="30"/>
          <w:szCs w:val="30"/>
        </w:rPr>
      </w:pPr>
    </w:p>
    <w:p w14:paraId="24B74EE5">
      <w:pPr>
        <w:spacing w:line="600" w:lineRule="exact"/>
        <w:ind w:firstLine="360" w:firstLineChars="150"/>
        <w:rPr>
          <w:rFonts w:hint="eastAsia" w:ascii="黑体" w:hAnsi="宋体" w:eastAsia="黑体"/>
          <w:sz w:val="24"/>
        </w:rPr>
      </w:pPr>
      <w:r>
        <w:rPr>
          <w:rFonts w:hint="eastAsia" w:ascii="黑体" w:hAnsi="宋体" w:eastAsia="黑体"/>
          <w:sz w:val="24"/>
        </w:rPr>
        <w:t>成果编制完成时间：2021年02月</w:t>
      </w:r>
    </w:p>
    <w:p w14:paraId="628CC313">
      <w:pPr>
        <w:spacing w:line="360" w:lineRule="auto"/>
        <w:rPr>
          <w:rFonts w:hint="eastAsia" w:ascii="黑体" w:eastAsia="黑体"/>
          <w:sz w:val="28"/>
          <w:szCs w:val="28"/>
        </w:rPr>
      </w:pPr>
    </w:p>
    <w:p w14:paraId="058FCC5C">
      <w:pPr>
        <w:keepNext w:val="0"/>
        <w:keepLines w:val="0"/>
        <w:pageBreakBefore w:val="0"/>
        <w:widowControl w:val="0"/>
        <w:kinsoku/>
        <w:wordWrap/>
        <w:overflowPunct/>
        <w:topLinePunct w:val="0"/>
        <w:autoSpaceDE/>
        <w:autoSpaceDN/>
        <w:bidi w:val="0"/>
        <w:jc w:val="center"/>
        <w:textAlignment w:val="auto"/>
        <w:rPr>
          <w:rFonts w:hint="eastAsia" w:ascii="宋体" w:hAnsi="宋体" w:cs="宋体"/>
          <w:b/>
          <w:bCs/>
          <w:color w:val="000000" w:themeColor="text1"/>
          <w:sz w:val="52"/>
          <w:szCs w:val="52"/>
          <w14:textFill>
            <w14:solidFill>
              <w14:schemeClr w14:val="tx1"/>
            </w14:solidFill>
          </w14:textFill>
        </w:rPr>
      </w:pPr>
    </w:p>
    <w:p w14:paraId="1620B620">
      <w:pPr>
        <w:pStyle w:val="2"/>
        <w:keepNext w:val="0"/>
        <w:keepLines w:val="0"/>
        <w:pageBreakBefore w:val="0"/>
        <w:widowControl w:val="0"/>
        <w:kinsoku/>
        <w:wordWrap/>
        <w:overflowPunct/>
        <w:topLinePunct w:val="0"/>
        <w:autoSpaceDE/>
        <w:autoSpaceDN/>
        <w:bidi w:val="0"/>
        <w:textAlignment w:val="auto"/>
        <w:rPr>
          <w:color w:val="000000" w:themeColor="text1"/>
          <w14:textFill>
            <w14:solidFill>
              <w14:schemeClr w14:val="tx1"/>
            </w14:solidFill>
          </w14:textFill>
        </w:rPr>
        <w:sectPr>
          <w:pgSz w:w="11906" w:h="16838"/>
          <w:pgMar w:top="1984" w:right="1531" w:bottom="1701" w:left="1531" w:header="851" w:footer="1247" w:gutter="0"/>
          <w:pgNumType w:fmt="numberInDash" w:start="1"/>
          <w:cols w:space="0" w:num="1"/>
          <w:titlePg/>
          <w:docGrid w:type="lines" w:linePitch="312" w:charSpace="0"/>
        </w:sectPr>
      </w:pPr>
    </w:p>
    <w:p w14:paraId="1CE21B3A">
      <w:pPr>
        <w:pStyle w:val="4"/>
        <w:keepNext w:val="0"/>
        <w:keepLines w:val="0"/>
        <w:pageBreakBefore w:val="0"/>
        <w:widowControl w:val="0"/>
        <w:kinsoku/>
        <w:wordWrap/>
        <w:overflowPunct/>
        <w:topLinePunct w:val="0"/>
        <w:autoSpaceDE/>
        <w:autoSpaceDN/>
        <w:bidi w:val="0"/>
        <w:spacing w:before="312" w:beforeLines="100" w:after="312" w:afterLines="100" w:line="600" w:lineRule="exact"/>
        <w:jc w:val="center"/>
        <w:textAlignment w:val="auto"/>
        <w:rPr>
          <w:rFonts w:ascii="宋体" w:hAnsi="宋体" w:eastAsia="宋体" w:cs="宋体"/>
          <w:color w:val="000000" w:themeColor="text1"/>
          <w:sz w:val="32"/>
          <w:szCs w:val="32"/>
          <w14:textFill>
            <w14:solidFill>
              <w14:schemeClr w14:val="tx1"/>
            </w14:solidFill>
          </w14:textFill>
        </w:rPr>
      </w:pPr>
      <w:bookmarkStart w:id="0" w:name="_Toc14378"/>
      <w:bookmarkStart w:id="1" w:name="_Toc21909"/>
      <w:bookmarkStart w:id="2" w:name="_Toc21189"/>
      <w:bookmarkStart w:id="3" w:name="_Toc27204"/>
      <w:bookmarkStart w:id="4" w:name="_Toc63332946"/>
      <w:bookmarkStart w:id="5" w:name="_Toc63356348"/>
      <w:bookmarkStart w:id="6" w:name="_Toc25418"/>
      <w:bookmarkStart w:id="7" w:name="_Toc9087"/>
      <w:bookmarkStart w:id="8" w:name="_Toc24942"/>
      <w:bookmarkStart w:id="9" w:name="_Toc22416"/>
      <w:bookmarkStart w:id="10" w:name="_Toc26878"/>
      <w:bookmarkStart w:id="11" w:name="_Toc21345"/>
      <w:bookmarkStart w:id="12" w:name="_Toc16900"/>
      <w:r>
        <w:rPr>
          <w:rFonts w:hint="eastAsia" w:ascii="宋体" w:hAnsi="宋体" w:eastAsia="宋体" w:cs="宋体"/>
          <w:color w:val="000000" w:themeColor="text1"/>
          <w:sz w:val="32"/>
          <w:szCs w:val="32"/>
          <w14:textFill>
            <w14:solidFill>
              <w14:schemeClr w14:val="tx1"/>
            </w14:solidFill>
          </w14:textFill>
        </w:rPr>
        <w:t>前  言</w:t>
      </w:r>
      <w:bookmarkEnd w:id="0"/>
      <w:bookmarkEnd w:id="1"/>
      <w:bookmarkEnd w:id="2"/>
      <w:bookmarkEnd w:id="3"/>
      <w:bookmarkEnd w:id="4"/>
      <w:bookmarkEnd w:id="5"/>
      <w:bookmarkEnd w:id="6"/>
      <w:bookmarkEnd w:id="7"/>
    </w:p>
    <w:p w14:paraId="5012FC75">
      <w:pPr>
        <w:keepNext w:val="0"/>
        <w:keepLines w:val="0"/>
        <w:pageBreakBefore w:val="0"/>
        <w:widowControl w:val="0"/>
        <w:kinsoku/>
        <w:wordWrap/>
        <w:overflowPunct/>
        <w:topLinePunct w:val="0"/>
        <w:autoSpaceDE/>
        <w:autoSpaceDN/>
        <w:bidi w:val="0"/>
        <w:adjustRightInd/>
        <w:snapToGrid/>
        <w:spacing w:line="640" w:lineRule="exact"/>
        <w:ind w:firstLine="600" w:firstLineChars="200"/>
        <w:textAlignment w:val="auto"/>
        <w:rPr>
          <w:rFonts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“十四五”时期（2021—2025），是清河县开启</w:t>
      </w:r>
      <w:r>
        <w:rPr>
          <w:rFonts w:hint="eastAsia" w:ascii="仿宋_GB2312" w:hAnsi="仿宋_GB2312" w:eastAsia="仿宋_GB2312" w:cs="仿宋_GB2312"/>
          <w:color w:val="000000" w:themeColor="text1"/>
          <w:sz w:val="30"/>
          <w:szCs w:val="30"/>
          <w:lang w:eastAsia="zh-CN"/>
          <w14:textFill>
            <w14:solidFill>
              <w14:schemeClr w14:val="tx1"/>
            </w14:solidFill>
          </w14:textFill>
        </w:rPr>
        <w:t>全面建设社会主义现代化国家新征程</w:t>
      </w:r>
      <w:r>
        <w:rPr>
          <w:rFonts w:hint="eastAsia" w:ascii="仿宋_GB2312" w:hAnsi="仿宋_GB2312" w:eastAsia="仿宋_GB2312" w:cs="仿宋_GB2312"/>
          <w:color w:val="000000" w:themeColor="text1"/>
          <w:sz w:val="30"/>
          <w:szCs w:val="30"/>
          <w14:textFill>
            <w14:solidFill>
              <w14:schemeClr w14:val="tx1"/>
            </w14:solidFill>
          </w14:textFill>
        </w:rPr>
        <w:t>的重要时期，是深度融入京津冀协同发展的加速时期，是实现高质量赶超发展的关键时期。高站位、高标准编制和有效实施清河县国民经济和社会发展第十四个五年规划，意义重大、影响深远。</w:t>
      </w:r>
    </w:p>
    <w:p w14:paraId="0F4E849E">
      <w:pPr>
        <w:keepNext w:val="0"/>
        <w:keepLines w:val="0"/>
        <w:pageBreakBefore w:val="0"/>
        <w:widowControl w:val="0"/>
        <w:kinsoku/>
        <w:wordWrap/>
        <w:overflowPunct/>
        <w:topLinePunct w:val="0"/>
        <w:autoSpaceDE/>
        <w:autoSpaceDN/>
        <w:bidi w:val="0"/>
        <w:adjustRightInd/>
        <w:snapToGrid/>
        <w:spacing w:line="640" w:lineRule="exact"/>
        <w:ind w:firstLine="600" w:firstLineChars="200"/>
        <w:textAlignment w:val="auto"/>
        <w:rPr>
          <w:color w:val="000000" w:themeColor="text1"/>
          <w:sz w:val="30"/>
          <w:szCs w:val="30"/>
          <w14:textFill>
            <w14:solidFill>
              <w14:schemeClr w14:val="tx1"/>
            </w14:solidFill>
          </w14:textFill>
        </w:rPr>
        <w:sectPr>
          <w:footerReference r:id="rId5" w:type="first"/>
          <w:footerReference r:id="rId4" w:type="default"/>
          <w:pgSz w:w="11906" w:h="16838"/>
          <w:pgMar w:top="1984" w:right="1531" w:bottom="1701" w:left="1531" w:header="851" w:footer="1247" w:gutter="0"/>
          <w:pgNumType w:fmt="numberInDash" w:start="1"/>
          <w:cols w:space="0" w:num="1"/>
          <w:titlePg/>
          <w:docGrid w:type="lines" w:linePitch="312" w:charSpace="0"/>
        </w:sectPr>
      </w:pPr>
      <w:r>
        <w:rPr>
          <w:rFonts w:hint="eastAsia" w:ascii="仿宋_GB2312" w:hAnsi="仿宋_GB2312" w:eastAsia="仿宋_GB2312" w:cs="仿宋_GB2312"/>
          <w:color w:val="000000" w:themeColor="text1"/>
          <w:sz w:val="30"/>
          <w:szCs w:val="30"/>
          <w14:textFill>
            <w14:solidFill>
              <w14:schemeClr w14:val="tx1"/>
            </w14:solidFill>
          </w14:textFill>
        </w:rPr>
        <w:t>本纲要依据中央、省、市关于“十四五”规划和二〇三五年远景目标的建议精神，以及《中共清河县委关于制定国民经济和社会发展第十四个五年规划和二〇三五年远景目标的建议》编制，是未来五年清河县经济社会发展的宏伟蓝图，是全县人民共同的行动纲领。规划期为2021年—2025年</w:t>
      </w:r>
      <w:r>
        <w:rPr>
          <w:rFonts w:hint="eastAsia" w:ascii="仿宋_GB2312" w:hAnsi="仿宋_GB2312" w:eastAsia="仿宋_GB2312" w:cs="仿宋_GB2312"/>
          <w:color w:val="000000" w:themeColor="text1"/>
          <w:sz w:val="30"/>
          <w:szCs w:val="30"/>
          <w:lang w:eastAsia="zh-CN"/>
          <w14:textFill>
            <w14:solidFill>
              <w14:schemeClr w14:val="tx1"/>
            </w14:solidFill>
          </w14:textFill>
        </w:rPr>
        <w:t>，展望到</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2035年</w:t>
      </w:r>
      <w:r>
        <w:rPr>
          <w:rFonts w:hint="eastAsia" w:ascii="仿宋_GB2312" w:hAnsi="仿宋_GB2312" w:eastAsia="仿宋_GB2312" w:cs="仿宋_GB2312"/>
          <w:color w:val="000000" w:themeColor="text1"/>
          <w:sz w:val="30"/>
          <w:szCs w:val="30"/>
          <w14:textFill>
            <w14:solidFill>
              <w14:schemeClr w14:val="tx1"/>
            </w14:solidFill>
          </w14:textFill>
        </w:rPr>
        <w:t>。</w:t>
      </w:r>
    </w:p>
    <w:bookmarkEnd w:id="8"/>
    <w:bookmarkEnd w:id="9"/>
    <w:bookmarkEnd w:id="10"/>
    <w:bookmarkEnd w:id="11"/>
    <w:bookmarkEnd w:id="12"/>
    <w:p w14:paraId="3AED77ED">
      <w:pPr>
        <w:keepNext w:val="0"/>
        <w:keepLines w:val="0"/>
        <w:pageBreakBefore w:val="0"/>
        <w:widowControl w:val="0"/>
        <w:kinsoku/>
        <w:wordWrap/>
        <w:overflowPunct/>
        <w:topLinePunct w:val="0"/>
        <w:autoSpaceDE/>
        <w:autoSpaceDN/>
        <w:bidi w:val="0"/>
        <w:jc w:val="center"/>
        <w:textAlignment w:val="auto"/>
        <w:rPr>
          <w:rFonts w:ascii="黑体" w:hAnsi="黑体" w:eastAsia="黑体"/>
          <w:color w:val="000000" w:themeColor="text1"/>
          <w:sz w:val="32"/>
          <w:szCs w:val="32"/>
          <w14:textFill>
            <w14:solidFill>
              <w14:schemeClr w14:val="tx1"/>
            </w14:solidFill>
          </w14:textFill>
        </w:rPr>
        <w:sectPr>
          <w:footerReference r:id="rId7" w:type="first"/>
          <w:footerReference r:id="rId6" w:type="default"/>
          <w:pgSz w:w="11906" w:h="16838"/>
          <w:pgMar w:top="1984" w:right="1531" w:bottom="1701" w:left="1531" w:header="851" w:footer="1247" w:gutter="0"/>
          <w:pgNumType w:fmt="numberInDash" w:start="1"/>
          <w:cols w:space="0" w:num="1"/>
          <w:titlePg/>
          <w:docGrid w:type="lines" w:linePitch="312" w:charSpace="0"/>
        </w:sectPr>
      </w:pPr>
      <w:bookmarkStart w:id="13" w:name="_Toc3513"/>
      <w:bookmarkStart w:id="14" w:name="_Toc11203"/>
      <w:bookmarkStart w:id="15" w:name="_Toc4771"/>
    </w:p>
    <w:p w14:paraId="583FCAC9">
      <w:pPr>
        <w:keepNext w:val="0"/>
        <w:keepLines w:val="0"/>
        <w:pageBreakBefore w:val="0"/>
        <w:widowControl w:val="0"/>
        <w:kinsoku/>
        <w:wordWrap/>
        <w:overflowPunct/>
        <w:topLinePunct w:val="0"/>
        <w:autoSpaceDE/>
        <w:autoSpaceDN/>
        <w:bidi w:val="0"/>
        <w:jc w:val="center"/>
        <w:textAlignment w:val="auto"/>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目  录</w:t>
      </w:r>
    </w:p>
    <w:p w14:paraId="6A6765D3">
      <w:pPr>
        <w:keepNext w:val="0"/>
        <w:keepLines w:val="0"/>
        <w:pageBreakBefore w:val="0"/>
        <w:widowControl w:val="0"/>
        <w:kinsoku/>
        <w:wordWrap/>
        <w:overflowPunct/>
        <w:topLinePunct w:val="0"/>
        <w:autoSpaceDE/>
        <w:autoSpaceDN/>
        <w:bidi w:val="0"/>
        <w:textAlignment w:val="auto"/>
        <w:rPr>
          <w:rFonts w:hint="eastAsia" w:ascii="黑体" w:hAnsi="黑体" w:eastAsia="黑体"/>
          <w:color w:val="000000" w:themeColor="text1"/>
          <w:sz w:val="32"/>
          <w:szCs w:val="32"/>
          <w14:textFill>
            <w14:solidFill>
              <w14:schemeClr w14:val="tx1"/>
            </w14:solidFill>
          </w14:textFill>
        </w:rPr>
      </w:pPr>
    </w:p>
    <w:p w14:paraId="4F1C15D8">
      <w:pPr>
        <w:keepNext w:val="0"/>
        <w:keepLines w:val="0"/>
        <w:pageBreakBefore w:val="0"/>
        <w:widowControl w:val="0"/>
        <w:kinsoku/>
        <w:wordWrap/>
        <w:overflowPunct/>
        <w:topLinePunct w:val="0"/>
        <w:autoSpaceDE/>
        <w:autoSpaceDN/>
        <w:bidi w:val="0"/>
        <w:adjustRightInd/>
        <w:snapToGrid/>
        <w:spacing w:line="480" w:lineRule="exact"/>
        <w:ind w:firstLine="240" w:firstLineChars="100"/>
        <w:jc w:val="distribute"/>
        <w:textAlignment w:val="auto"/>
        <w:rPr>
          <w:rFonts w:hint="eastAsia"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第一章 “十三五”时期清河县全面建成小康社会取得的决定性成就</w:t>
      </w:r>
      <w:r>
        <w:rPr>
          <w:rFonts w:hint="eastAsia" w:ascii="黑体" w:hAnsi="黑体" w:eastAsia="黑体"/>
          <w:color w:val="000000" w:themeColor="text1"/>
          <w:sz w:val="24"/>
          <w:szCs w:val="24"/>
          <w:lang w:val="en-US" w:eastAsia="zh-CN"/>
          <w14:textFill>
            <w14:solidFill>
              <w14:schemeClr w14:val="tx1"/>
            </w14:solidFill>
          </w14:textFill>
        </w:rPr>
        <w:t>………………</w:t>
      </w:r>
      <w:r>
        <w:rPr>
          <w:rFonts w:hint="eastAsia" w:ascii="黑体" w:hAnsi="黑体" w:eastAsia="黑体"/>
          <w:color w:val="000000" w:themeColor="text1"/>
          <w:sz w:val="24"/>
          <w:szCs w:val="24"/>
          <w14:textFill>
            <w14:solidFill>
              <w14:schemeClr w14:val="tx1"/>
            </w14:solidFill>
          </w14:textFill>
        </w:rPr>
        <w:t>1</w:t>
      </w:r>
    </w:p>
    <w:p w14:paraId="28A7AF87">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distribute"/>
        <w:textAlignment w:val="auto"/>
        <w:rPr>
          <w:rFonts w:hint="eastAsia" w:ascii="楷体_GB2312" w:hAnsi="楷体_GB2312" w:eastAsia="楷体_GB2312" w:cs="楷体_GB2312"/>
          <w:color w:val="000000" w:themeColor="text1"/>
          <w:sz w:val="24"/>
          <w:szCs w:val="24"/>
          <w14:textFill>
            <w14:solidFill>
              <w14:schemeClr w14:val="tx1"/>
            </w14:solidFill>
          </w14:textFill>
        </w:rPr>
      </w:pPr>
      <w:r>
        <w:rPr>
          <w:rFonts w:hint="eastAsia" w:ascii="楷体_GB2312" w:hAnsi="楷体_GB2312" w:eastAsia="楷体_GB2312" w:cs="楷体_GB2312"/>
          <w:color w:val="000000" w:themeColor="text1"/>
          <w:sz w:val="24"/>
          <w:szCs w:val="24"/>
          <w14:textFill>
            <w14:solidFill>
              <w14:schemeClr w14:val="tx1"/>
            </w14:solidFill>
          </w14:textFill>
        </w:rPr>
        <w:t>一、综合实力跃上新台阶，提前实现两个翻番</w:t>
      </w:r>
      <w:r>
        <w:rPr>
          <w:rFonts w:hint="eastAsia" w:ascii="楷体_GB2312" w:hAnsi="楷体_GB2312" w:eastAsia="楷体_GB2312" w:cs="楷体_GB2312"/>
          <w:color w:val="000000" w:themeColor="text1"/>
          <w:sz w:val="24"/>
          <w:szCs w:val="24"/>
          <w:lang w:val="en-US" w:eastAsia="zh-CN"/>
          <w14:textFill>
            <w14:solidFill>
              <w14:schemeClr w14:val="tx1"/>
            </w14:solidFill>
          </w14:textFill>
        </w:rPr>
        <w:t>……………………………………</w:t>
      </w:r>
      <w:r>
        <w:rPr>
          <w:rFonts w:hint="eastAsia" w:ascii="楷体_GB2312" w:hAnsi="楷体_GB2312" w:eastAsia="楷体_GB2312" w:cs="楷体_GB2312"/>
          <w:color w:val="000000" w:themeColor="text1"/>
          <w:sz w:val="24"/>
          <w:szCs w:val="24"/>
          <w14:textFill>
            <w14:solidFill>
              <w14:schemeClr w14:val="tx1"/>
            </w14:solidFill>
          </w14:textFill>
        </w:rPr>
        <w:t>1</w:t>
      </w:r>
    </w:p>
    <w:p w14:paraId="32074A7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distribute"/>
        <w:textAlignment w:val="auto"/>
        <w:rPr>
          <w:rFonts w:hint="eastAsia" w:ascii="楷体_GB2312" w:hAnsi="楷体_GB2312" w:eastAsia="楷体_GB2312" w:cs="楷体_GB2312"/>
          <w:color w:val="000000" w:themeColor="text1"/>
          <w:sz w:val="24"/>
          <w:szCs w:val="24"/>
          <w14:textFill>
            <w14:solidFill>
              <w14:schemeClr w14:val="tx1"/>
            </w14:solidFill>
          </w14:textFill>
        </w:rPr>
      </w:pPr>
      <w:r>
        <w:rPr>
          <w:rFonts w:hint="eastAsia" w:ascii="楷体_GB2312" w:hAnsi="楷体_GB2312" w:eastAsia="楷体_GB2312" w:cs="楷体_GB2312"/>
          <w:color w:val="000000" w:themeColor="text1"/>
          <w:sz w:val="24"/>
          <w:szCs w:val="24"/>
          <w14:textFill>
            <w14:solidFill>
              <w14:schemeClr w14:val="tx1"/>
            </w14:solidFill>
          </w14:textFill>
        </w:rPr>
        <w:t>二、产业体系持续优化，发展动力更加强劲</w:t>
      </w:r>
      <w:r>
        <w:rPr>
          <w:rFonts w:hint="eastAsia" w:ascii="楷体_GB2312" w:hAnsi="楷体_GB2312" w:eastAsia="楷体_GB2312" w:cs="楷体_GB2312"/>
          <w:color w:val="000000" w:themeColor="text1"/>
          <w:sz w:val="24"/>
          <w:szCs w:val="24"/>
          <w:lang w:val="en-US" w:eastAsia="zh-CN"/>
          <w14:textFill>
            <w14:solidFill>
              <w14:schemeClr w14:val="tx1"/>
            </w14:solidFill>
          </w14:textFill>
        </w:rPr>
        <w:t>………………………………………</w:t>
      </w:r>
      <w:r>
        <w:rPr>
          <w:rFonts w:hint="eastAsia" w:ascii="楷体_GB2312" w:hAnsi="楷体_GB2312" w:eastAsia="楷体_GB2312" w:cs="楷体_GB2312"/>
          <w:color w:val="000000" w:themeColor="text1"/>
          <w:sz w:val="24"/>
          <w:szCs w:val="24"/>
          <w14:textFill>
            <w14:solidFill>
              <w14:schemeClr w14:val="tx1"/>
            </w14:solidFill>
          </w14:textFill>
        </w:rPr>
        <w:t>1</w:t>
      </w:r>
    </w:p>
    <w:p w14:paraId="0FC05350">
      <w:pPr>
        <w:keepNext w:val="0"/>
        <w:keepLines w:val="0"/>
        <w:pageBreakBefore w:val="0"/>
        <w:widowControl w:val="0"/>
        <w:kinsoku/>
        <w:wordWrap/>
        <w:overflowPunct/>
        <w:topLinePunct w:val="0"/>
        <w:autoSpaceDE/>
        <w:autoSpaceDN/>
        <w:bidi w:val="0"/>
        <w:adjustRightInd/>
        <w:snapToGrid/>
        <w:spacing w:line="480" w:lineRule="exact"/>
        <w:ind w:firstLine="720" w:firstLineChars="300"/>
        <w:jc w:val="distribute"/>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（一）农业生产持续增效</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2</w:t>
      </w:r>
    </w:p>
    <w:p w14:paraId="779F0924">
      <w:pPr>
        <w:keepNext w:val="0"/>
        <w:keepLines w:val="0"/>
        <w:pageBreakBefore w:val="0"/>
        <w:widowControl w:val="0"/>
        <w:kinsoku/>
        <w:wordWrap/>
        <w:overflowPunct/>
        <w:topLinePunct w:val="0"/>
        <w:autoSpaceDE/>
        <w:autoSpaceDN/>
        <w:bidi w:val="0"/>
        <w:adjustRightInd/>
        <w:snapToGrid/>
        <w:spacing w:line="480" w:lineRule="exact"/>
        <w:ind w:firstLine="720" w:firstLineChars="300"/>
        <w:jc w:val="distribute"/>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（二）工业经济快速发展</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2</w:t>
      </w:r>
    </w:p>
    <w:p w14:paraId="67E32EF7">
      <w:pPr>
        <w:keepNext w:val="0"/>
        <w:keepLines w:val="0"/>
        <w:pageBreakBefore w:val="0"/>
        <w:widowControl w:val="0"/>
        <w:kinsoku/>
        <w:wordWrap/>
        <w:overflowPunct/>
        <w:topLinePunct w:val="0"/>
        <w:autoSpaceDE/>
        <w:autoSpaceDN/>
        <w:bidi w:val="0"/>
        <w:adjustRightInd/>
        <w:snapToGrid/>
        <w:spacing w:line="480" w:lineRule="exact"/>
        <w:ind w:firstLine="720" w:firstLineChars="300"/>
        <w:jc w:val="distribute"/>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（三）服务业发展日趋活跃</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3</w:t>
      </w:r>
    </w:p>
    <w:p w14:paraId="66671B1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distribute"/>
        <w:textAlignment w:val="auto"/>
        <w:rPr>
          <w:rFonts w:hint="eastAsia" w:ascii="楷体_GB2312" w:hAnsi="楷体_GB2312" w:eastAsia="楷体_GB2312" w:cs="楷体_GB2312"/>
          <w:color w:val="000000" w:themeColor="text1"/>
          <w:sz w:val="24"/>
          <w:szCs w:val="24"/>
          <w14:textFill>
            <w14:solidFill>
              <w14:schemeClr w14:val="tx1"/>
            </w14:solidFill>
          </w14:textFill>
        </w:rPr>
      </w:pPr>
      <w:r>
        <w:rPr>
          <w:rFonts w:hint="eastAsia" w:ascii="楷体_GB2312" w:hAnsi="楷体_GB2312" w:eastAsia="楷体_GB2312" w:cs="楷体_GB2312"/>
          <w:color w:val="000000" w:themeColor="text1"/>
          <w:sz w:val="24"/>
          <w:szCs w:val="24"/>
          <w14:textFill>
            <w14:solidFill>
              <w14:schemeClr w14:val="tx1"/>
            </w14:solidFill>
          </w14:textFill>
        </w:rPr>
        <w:t>三、招商选资成效显著，项目建设持续推进</w:t>
      </w:r>
      <w:r>
        <w:rPr>
          <w:rFonts w:hint="eastAsia" w:ascii="楷体_GB2312" w:hAnsi="楷体_GB2312" w:eastAsia="楷体_GB2312" w:cs="楷体_GB2312"/>
          <w:color w:val="000000" w:themeColor="text1"/>
          <w:sz w:val="24"/>
          <w:szCs w:val="24"/>
          <w:lang w:val="en-US" w:eastAsia="zh-CN"/>
          <w14:textFill>
            <w14:solidFill>
              <w14:schemeClr w14:val="tx1"/>
            </w14:solidFill>
          </w14:textFill>
        </w:rPr>
        <w:t>………………………………………</w:t>
      </w:r>
      <w:r>
        <w:rPr>
          <w:rFonts w:hint="eastAsia" w:ascii="楷体_GB2312" w:hAnsi="楷体_GB2312" w:eastAsia="楷体_GB2312" w:cs="楷体_GB2312"/>
          <w:color w:val="000000" w:themeColor="text1"/>
          <w:sz w:val="24"/>
          <w:szCs w:val="24"/>
          <w14:textFill>
            <w14:solidFill>
              <w14:schemeClr w14:val="tx1"/>
            </w14:solidFill>
          </w14:textFill>
        </w:rPr>
        <w:t>4</w:t>
      </w:r>
    </w:p>
    <w:p w14:paraId="53C40D3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distribute"/>
        <w:textAlignment w:val="auto"/>
        <w:rPr>
          <w:rFonts w:hint="eastAsia" w:ascii="楷体_GB2312" w:hAnsi="楷体_GB2312" w:eastAsia="楷体_GB2312" w:cs="楷体_GB2312"/>
          <w:color w:val="000000" w:themeColor="text1"/>
          <w:sz w:val="24"/>
          <w:szCs w:val="24"/>
          <w14:textFill>
            <w14:solidFill>
              <w14:schemeClr w14:val="tx1"/>
            </w14:solidFill>
          </w14:textFill>
        </w:rPr>
      </w:pPr>
      <w:r>
        <w:rPr>
          <w:rFonts w:hint="eastAsia" w:ascii="楷体_GB2312" w:hAnsi="楷体_GB2312" w:eastAsia="楷体_GB2312" w:cs="楷体_GB2312"/>
          <w:color w:val="000000" w:themeColor="text1"/>
          <w:sz w:val="24"/>
          <w:szCs w:val="24"/>
          <w14:textFill>
            <w14:solidFill>
              <w14:schemeClr w14:val="tx1"/>
            </w14:solidFill>
          </w14:textFill>
        </w:rPr>
        <w:t>四、创新能力稳步提升，发展活力持续释放</w:t>
      </w:r>
      <w:r>
        <w:rPr>
          <w:rFonts w:hint="eastAsia" w:ascii="楷体_GB2312" w:hAnsi="楷体_GB2312" w:eastAsia="楷体_GB2312" w:cs="楷体_GB2312"/>
          <w:color w:val="000000" w:themeColor="text1"/>
          <w:sz w:val="24"/>
          <w:szCs w:val="24"/>
          <w:lang w:val="en-US" w:eastAsia="zh-CN"/>
          <w14:textFill>
            <w14:solidFill>
              <w14:schemeClr w14:val="tx1"/>
            </w14:solidFill>
          </w14:textFill>
        </w:rPr>
        <w:t>………………………………………</w:t>
      </w:r>
      <w:r>
        <w:rPr>
          <w:rFonts w:hint="eastAsia" w:ascii="楷体_GB2312" w:hAnsi="楷体_GB2312" w:eastAsia="楷体_GB2312" w:cs="楷体_GB2312"/>
          <w:color w:val="000000" w:themeColor="text1"/>
          <w:sz w:val="24"/>
          <w:szCs w:val="24"/>
          <w14:textFill>
            <w14:solidFill>
              <w14:schemeClr w14:val="tx1"/>
            </w14:solidFill>
          </w14:textFill>
        </w:rPr>
        <w:t>5</w:t>
      </w:r>
    </w:p>
    <w:p w14:paraId="552309E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distribute"/>
        <w:textAlignment w:val="auto"/>
        <w:rPr>
          <w:rFonts w:hint="eastAsia" w:ascii="楷体_GB2312" w:hAnsi="楷体_GB2312" w:eastAsia="楷体_GB2312" w:cs="楷体_GB2312"/>
          <w:color w:val="000000" w:themeColor="text1"/>
          <w:sz w:val="24"/>
          <w:szCs w:val="24"/>
          <w14:textFill>
            <w14:solidFill>
              <w14:schemeClr w14:val="tx1"/>
            </w14:solidFill>
          </w14:textFill>
        </w:rPr>
      </w:pPr>
      <w:r>
        <w:rPr>
          <w:rFonts w:hint="eastAsia" w:ascii="楷体_GB2312" w:hAnsi="楷体_GB2312" w:eastAsia="楷体_GB2312" w:cs="楷体_GB2312"/>
          <w:color w:val="000000" w:themeColor="text1"/>
          <w:sz w:val="24"/>
          <w:szCs w:val="24"/>
          <w14:textFill>
            <w14:solidFill>
              <w14:schemeClr w14:val="tx1"/>
            </w14:solidFill>
          </w14:textFill>
        </w:rPr>
        <w:t>五、城乡建设持续加强，协调发展更加深入</w:t>
      </w:r>
      <w:r>
        <w:rPr>
          <w:rFonts w:hint="eastAsia" w:ascii="楷体_GB2312" w:hAnsi="楷体_GB2312" w:eastAsia="楷体_GB2312" w:cs="楷体_GB2312"/>
          <w:color w:val="000000" w:themeColor="text1"/>
          <w:sz w:val="24"/>
          <w:szCs w:val="24"/>
          <w:lang w:val="en-US" w:eastAsia="zh-CN"/>
          <w14:textFill>
            <w14:solidFill>
              <w14:schemeClr w14:val="tx1"/>
            </w14:solidFill>
          </w14:textFill>
        </w:rPr>
        <w:t>………………………………………</w:t>
      </w:r>
      <w:r>
        <w:rPr>
          <w:rFonts w:hint="eastAsia" w:ascii="楷体_GB2312" w:hAnsi="楷体_GB2312" w:eastAsia="楷体_GB2312" w:cs="楷体_GB2312"/>
          <w:color w:val="000000" w:themeColor="text1"/>
          <w:sz w:val="24"/>
          <w:szCs w:val="24"/>
          <w14:textFill>
            <w14:solidFill>
              <w14:schemeClr w14:val="tx1"/>
            </w14:solidFill>
          </w14:textFill>
        </w:rPr>
        <w:t>5</w:t>
      </w:r>
    </w:p>
    <w:p w14:paraId="4F5EA4CF">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distribute"/>
        <w:textAlignment w:val="auto"/>
        <w:rPr>
          <w:rFonts w:hint="eastAsia" w:ascii="楷体_GB2312" w:hAnsi="楷体_GB2312" w:eastAsia="楷体_GB2312" w:cs="楷体_GB2312"/>
          <w:color w:val="000000" w:themeColor="text1"/>
          <w:sz w:val="24"/>
          <w:szCs w:val="24"/>
          <w14:textFill>
            <w14:solidFill>
              <w14:schemeClr w14:val="tx1"/>
            </w14:solidFill>
          </w14:textFill>
        </w:rPr>
      </w:pPr>
      <w:r>
        <w:rPr>
          <w:rFonts w:hint="eastAsia" w:ascii="楷体_GB2312" w:hAnsi="楷体_GB2312" w:eastAsia="楷体_GB2312" w:cs="楷体_GB2312"/>
          <w:color w:val="000000" w:themeColor="text1"/>
          <w:sz w:val="24"/>
          <w:szCs w:val="24"/>
          <w14:textFill>
            <w14:solidFill>
              <w14:schemeClr w14:val="tx1"/>
            </w14:solidFill>
          </w14:textFill>
        </w:rPr>
        <w:t>六、深化改革取得突破，发展环境持续优化</w:t>
      </w:r>
      <w:r>
        <w:rPr>
          <w:rFonts w:hint="eastAsia" w:ascii="楷体_GB2312" w:hAnsi="楷体_GB2312" w:eastAsia="楷体_GB2312" w:cs="楷体_GB2312"/>
          <w:color w:val="000000" w:themeColor="text1"/>
          <w:sz w:val="24"/>
          <w:szCs w:val="24"/>
          <w:lang w:val="en-US" w:eastAsia="zh-CN"/>
          <w14:textFill>
            <w14:solidFill>
              <w14:schemeClr w14:val="tx1"/>
            </w14:solidFill>
          </w14:textFill>
        </w:rPr>
        <w:t>………………………………………</w:t>
      </w:r>
      <w:r>
        <w:rPr>
          <w:rFonts w:hint="eastAsia" w:ascii="楷体_GB2312" w:hAnsi="楷体_GB2312" w:eastAsia="楷体_GB2312" w:cs="楷体_GB2312"/>
          <w:color w:val="000000" w:themeColor="text1"/>
          <w:sz w:val="24"/>
          <w:szCs w:val="24"/>
          <w14:textFill>
            <w14:solidFill>
              <w14:schemeClr w14:val="tx1"/>
            </w14:solidFill>
          </w14:textFill>
        </w:rPr>
        <w:t>7</w:t>
      </w:r>
    </w:p>
    <w:p w14:paraId="1AE6104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distribute"/>
        <w:textAlignment w:val="auto"/>
        <w:rPr>
          <w:rFonts w:hint="eastAsia" w:ascii="楷体_GB2312" w:hAnsi="楷体_GB2312" w:eastAsia="楷体_GB2312" w:cs="楷体_GB2312"/>
          <w:color w:val="000000" w:themeColor="text1"/>
          <w:sz w:val="24"/>
          <w:szCs w:val="24"/>
          <w14:textFill>
            <w14:solidFill>
              <w14:schemeClr w14:val="tx1"/>
            </w14:solidFill>
          </w14:textFill>
        </w:rPr>
      </w:pPr>
      <w:r>
        <w:rPr>
          <w:rFonts w:hint="eastAsia" w:ascii="楷体_GB2312" w:hAnsi="楷体_GB2312" w:eastAsia="楷体_GB2312" w:cs="楷体_GB2312"/>
          <w:color w:val="000000" w:themeColor="text1"/>
          <w:sz w:val="24"/>
          <w:szCs w:val="24"/>
          <w14:textFill>
            <w14:solidFill>
              <w14:schemeClr w14:val="tx1"/>
            </w14:solidFill>
          </w14:textFill>
        </w:rPr>
        <w:t>七、生态治理持续加强，环境状况明显改善</w:t>
      </w:r>
      <w:r>
        <w:rPr>
          <w:rFonts w:hint="eastAsia" w:ascii="楷体_GB2312" w:hAnsi="楷体_GB2312" w:eastAsia="楷体_GB2312" w:cs="楷体_GB2312"/>
          <w:color w:val="000000" w:themeColor="text1"/>
          <w:sz w:val="24"/>
          <w:szCs w:val="24"/>
          <w:lang w:val="en-US" w:eastAsia="zh-CN"/>
          <w14:textFill>
            <w14:solidFill>
              <w14:schemeClr w14:val="tx1"/>
            </w14:solidFill>
          </w14:textFill>
        </w:rPr>
        <w:t>………………………………………</w:t>
      </w:r>
      <w:r>
        <w:rPr>
          <w:rFonts w:hint="eastAsia" w:ascii="楷体_GB2312" w:hAnsi="楷体_GB2312" w:eastAsia="楷体_GB2312" w:cs="楷体_GB2312"/>
          <w:color w:val="000000" w:themeColor="text1"/>
          <w:sz w:val="24"/>
          <w:szCs w:val="24"/>
          <w14:textFill>
            <w14:solidFill>
              <w14:schemeClr w14:val="tx1"/>
            </w14:solidFill>
          </w14:textFill>
        </w:rPr>
        <w:t>7</w:t>
      </w:r>
    </w:p>
    <w:p w14:paraId="19F833C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distribute"/>
        <w:textAlignment w:val="auto"/>
        <w:rPr>
          <w:rFonts w:hint="eastAsia" w:ascii="楷体_GB2312" w:hAnsi="楷体_GB2312" w:eastAsia="楷体_GB2312" w:cs="楷体_GB2312"/>
          <w:color w:val="000000" w:themeColor="text1"/>
          <w:sz w:val="24"/>
          <w:szCs w:val="24"/>
          <w14:textFill>
            <w14:solidFill>
              <w14:schemeClr w14:val="tx1"/>
            </w14:solidFill>
          </w14:textFill>
        </w:rPr>
      </w:pPr>
      <w:r>
        <w:rPr>
          <w:rFonts w:hint="eastAsia" w:ascii="楷体_GB2312" w:hAnsi="楷体_GB2312" w:eastAsia="楷体_GB2312" w:cs="楷体_GB2312"/>
          <w:color w:val="000000" w:themeColor="text1"/>
          <w:sz w:val="24"/>
          <w:szCs w:val="24"/>
          <w14:textFill>
            <w14:solidFill>
              <w14:schemeClr w14:val="tx1"/>
            </w14:solidFill>
          </w14:textFill>
        </w:rPr>
        <w:t>八、民生福祉不断增进，人民生活更加幸福</w:t>
      </w:r>
      <w:r>
        <w:rPr>
          <w:rFonts w:hint="eastAsia" w:ascii="楷体_GB2312" w:hAnsi="楷体_GB2312" w:eastAsia="楷体_GB2312" w:cs="楷体_GB2312"/>
          <w:color w:val="000000" w:themeColor="text1"/>
          <w:sz w:val="24"/>
          <w:szCs w:val="24"/>
          <w:lang w:val="en-US" w:eastAsia="zh-CN"/>
          <w14:textFill>
            <w14:solidFill>
              <w14:schemeClr w14:val="tx1"/>
            </w14:solidFill>
          </w14:textFill>
        </w:rPr>
        <w:t>………………………………………</w:t>
      </w:r>
      <w:r>
        <w:rPr>
          <w:rFonts w:hint="eastAsia" w:ascii="楷体_GB2312" w:hAnsi="楷体_GB2312" w:eastAsia="楷体_GB2312" w:cs="楷体_GB2312"/>
          <w:color w:val="000000" w:themeColor="text1"/>
          <w:sz w:val="24"/>
          <w:szCs w:val="24"/>
          <w14:textFill>
            <w14:solidFill>
              <w14:schemeClr w14:val="tx1"/>
            </w14:solidFill>
          </w14:textFill>
        </w:rPr>
        <w:t>8</w:t>
      </w:r>
    </w:p>
    <w:p w14:paraId="65491E5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distribute"/>
        <w:textAlignment w:val="auto"/>
        <w:rPr>
          <w:rFonts w:hint="eastAsia" w:ascii="楷体_GB2312" w:hAnsi="楷体_GB2312" w:eastAsia="楷体_GB2312" w:cs="楷体_GB2312"/>
          <w:color w:val="000000" w:themeColor="text1"/>
          <w:sz w:val="24"/>
          <w:szCs w:val="24"/>
          <w14:textFill>
            <w14:solidFill>
              <w14:schemeClr w14:val="tx1"/>
            </w14:solidFill>
          </w14:textFill>
        </w:rPr>
      </w:pPr>
      <w:r>
        <w:rPr>
          <w:rFonts w:hint="eastAsia" w:ascii="楷体_GB2312" w:hAnsi="楷体_GB2312" w:eastAsia="楷体_GB2312" w:cs="楷体_GB2312"/>
          <w:color w:val="000000" w:themeColor="text1"/>
          <w:sz w:val="24"/>
          <w:szCs w:val="24"/>
          <w14:textFill>
            <w14:solidFill>
              <w14:schemeClr w14:val="tx1"/>
            </w14:solidFill>
          </w14:textFill>
        </w:rPr>
        <w:t>九、社会大局和谐稳定，平安清河持续深化</w:t>
      </w:r>
      <w:r>
        <w:rPr>
          <w:rFonts w:hint="eastAsia" w:ascii="楷体_GB2312" w:hAnsi="楷体_GB2312" w:eastAsia="楷体_GB2312" w:cs="楷体_GB2312"/>
          <w:color w:val="000000" w:themeColor="text1"/>
          <w:sz w:val="24"/>
          <w:szCs w:val="24"/>
          <w:lang w:val="en-US" w:eastAsia="zh-CN"/>
          <w14:textFill>
            <w14:solidFill>
              <w14:schemeClr w14:val="tx1"/>
            </w14:solidFill>
          </w14:textFill>
        </w:rPr>
        <w:t>………………………………………</w:t>
      </w:r>
      <w:r>
        <w:rPr>
          <w:rFonts w:hint="eastAsia" w:ascii="楷体_GB2312" w:hAnsi="楷体_GB2312" w:eastAsia="楷体_GB2312" w:cs="楷体_GB2312"/>
          <w:color w:val="000000" w:themeColor="text1"/>
          <w:sz w:val="24"/>
          <w:szCs w:val="24"/>
          <w14:textFill>
            <w14:solidFill>
              <w14:schemeClr w14:val="tx1"/>
            </w14:solidFill>
          </w14:textFill>
        </w:rPr>
        <w:t>10</w:t>
      </w:r>
    </w:p>
    <w:p w14:paraId="10722D8E">
      <w:pPr>
        <w:keepNext w:val="0"/>
        <w:keepLines w:val="0"/>
        <w:pageBreakBefore w:val="0"/>
        <w:widowControl w:val="0"/>
        <w:kinsoku/>
        <w:wordWrap/>
        <w:overflowPunct/>
        <w:topLinePunct w:val="0"/>
        <w:autoSpaceDE/>
        <w:autoSpaceDN/>
        <w:bidi w:val="0"/>
        <w:adjustRightInd/>
        <w:snapToGrid/>
        <w:spacing w:line="480" w:lineRule="exact"/>
        <w:ind w:firstLine="240" w:firstLineChars="100"/>
        <w:jc w:val="distribute"/>
        <w:textAlignment w:val="auto"/>
        <w:rPr>
          <w:rFonts w:hint="eastAsia"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第二章 “十四五”时期面临的机遇与挑战</w:t>
      </w:r>
      <w:r>
        <w:rPr>
          <w:rFonts w:hint="eastAsia" w:ascii="黑体" w:hAnsi="黑体" w:eastAsia="黑体"/>
          <w:color w:val="000000" w:themeColor="text1"/>
          <w:sz w:val="24"/>
          <w:szCs w:val="24"/>
          <w:lang w:val="en-US" w:eastAsia="zh-CN"/>
          <w14:textFill>
            <w14:solidFill>
              <w14:schemeClr w14:val="tx1"/>
            </w14:solidFill>
          </w14:textFill>
        </w:rPr>
        <w:t>…………………………………………</w:t>
      </w:r>
      <w:r>
        <w:rPr>
          <w:rFonts w:hint="eastAsia" w:ascii="黑体" w:hAnsi="黑体" w:eastAsia="黑体"/>
          <w:color w:val="000000" w:themeColor="text1"/>
          <w:sz w:val="24"/>
          <w:szCs w:val="24"/>
          <w14:textFill>
            <w14:solidFill>
              <w14:schemeClr w14:val="tx1"/>
            </w14:solidFill>
          </w14:textFill>
        </w:rPr>
        <w:t>11</w:t>
      </w:r>
    </w:p>
    <w:p w14:paraId="3273B26F">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distribute"/>
        <w:textAlignment w:val="auto"/>
        <w:rPr>
          <w:rFonts w:hint="eastAsia" w:ascii="楷体_GB2312" w:hAnsi="楷体_GB2312" w:eastAsia="楷体_GB2312" w:cs="楷体_GB2312"/>
          <w:color w:val="000000" w:themeColor="text1"/>
          <w:sz w:val="24"/>
          <w:szCs w:val="24"/>
          <w14:textFill>
            <w14:solidFill>
              <w14:schemeClr w14:val="tx1"/>
            </w14:solidFill>
          </w14:textFill>
        </w:rPr>
      </w:pPr>
      <w:r>
        <w:rPr>
          <w:rFonts w:hint="eastAsia" w:ascii="楷体_GB2312" w:hAnsi="楷体_GB2312" w:eastAsia="楷体_GB2312" w:cs="楷体_GB2312"/>
          <w:color w:val="000000" w:themeColor="text1"/>
          <w:sz w:val="24"/>
          <w:szCs w:val="24"/>
          <w14:textFill>
            <w14:solidFill>
              <w14:schemeClr w14:val="tx1"/>
            </w14:solidFill>
          </w14:textFill>
        </w:rPr>
        <w:t>一、面临机遇</w:t>
      </w:r>
      <w:r>
        <w:rPr>
          <w:rFonts w:hint="eastAsia" w:ascii="楷体_GB2312" w:hAnsi="楷体_GB2312" w:eastAsia="楷体_GB2312" w:cs="楷体_GB2312"/>
          <w:color w:val="000000" w:themeColor="text1"/>
          <w:sz w:val="24"/>
          <w:szCs w:val="24"/>
          <w:lang w:val="en-US" w:eastAsia="zh-CN"/>
          <w14:textFill>
            <w14:solidFill>
              <w14:schemeClr w14:val="tx1"/>
            </w14:solidFill>
          </w14:textFill>
        </w:rPr>
        <w:t>…………………………………………………………………………</w:t>
      </w:r>
      <w:r>
        <w:rPr>
          <w:rFonts w:hint="eastAsia" w:ascii="楷体_GB2312" w:hAnsi="楷体_GB2312" w:eastAsia="楷体_GB2312" w:cs="楷体_GB2312"/>
          <w:color w:val="000000" w:themeColor="text1"/>
          <w:sz w:val="24"/>
          <w:szCs w:val="24"/>
          <w14:textFill>
            <w14:solidFill>
              <w14:schemeClr w14:val="tx1"/>
            </w14:solidFill>
          </w14:textFill>
        </w:rPr>
        <w:t>11</w:t>
      </w:r>
    </w:p>
    <w:p w14:paraId="74AEB5AB">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distribute"/>
        <w:textAlignment w:val="auto"/>
        <w:rPr>
          <w:rFonts w:hint="eastAsia" w:ascii="楷体_GB2312" w:hAnsi="楷体_GB2312" w:eastAsia="楷体_GB2312" w:cs="楷体_GB2312"/>
          <w:color w:val="000000" w:themeColor="text1"/>
          <w:sz w:val="24"/>
          <w:szCs w:val="24"/>
          <w14:textFill>
            <w14:solidFill>
              <w14:schemeClr w14:val="tx1"/>
            </w14:solidFill>
          </w14:textFill>
        </w:rPr>
      </w:pPr>
      <w:r>
        <w:rPr>
          <w:rFonts w:hint="eastAsia" w:ascii="楷体_GB2312" w:hAnsi="楷体_GB2312" w:eastAsia="楷体_GB2312" w:cs="楷体_GB2312"/>
          <w:color w:val="000000" w:themeColor="text1"/>
          <w:sz w:val="24"/>
          <w:szCs w:val="24"/>
          <w14:textFill>
            <w14:solidFill>
              <w14:schemeClr w14:val="tx1"/>
            </w14:solidFill>
          </w14:textFill>
        </w:rPr>
        <w:t>二、严峻挑战</w:t>
      </w:r>
      <w:r>
        <w:rPr>
          <w:rFonts w:hint="eastAsia" w:ascii="楷体_GB2312" w:hAnsi="楷体_GB2312" w:eastAsia="楷体_GB2312" w:cs="楷体_GB2312"/>
          <w:color w:val="000000" w:themeColor="text1"/>
          <w:sz w:val="24"/>
          <w:szCs w:val="24"/>
          <w:lang w:val="en-US" w:eastAsia="zh-CN"/>
          <w14:textFill>
            <w14:solidFill>
              <w14:schemeClr w14:val="tx1"/>
            </w14:solidFill>
          </w14:textFill>
        </w:rPr>
        <w:t>…………………………………………………………………………</w:t>
      </w:r>
      <w:r>
        <w:rPr>
          <w:rFonts w:hint="eastAsia" w:ascii="楷体_GB2312" w:hAnsi="楷体_GB2312" w:eastAsia="楷体_GB2312" w:cs="楷体_GB2312"/>
          <w:color w:val="000000" w:themeColor="text1"/>
          <w:sz w:val="24"/>
          <w:szCs w:val="24"/>
          <w14:textFill>
            <w14:solidFill>
              <w14:schemeClr w14:val="tx1"/>
            </w14:solidFill>
          </w14:textFill>
        </w:rPr>
        <w:t>11</w:t>
      </w:r>
    </w:p>
    <w:p w14:paraId="366C3795">
      <w:pPr>
        <w:keepNext w:val="0"/>
        <w:keepLines w:val="0"/>
        <w:pageBreakBefore w:val="0"/>
        <w:widowControl w:val="0"/>
        <w:kinsoku/>
        <w:wordWrap/>
        <w:overflowPunct/>
        <w:topLinePunct w:val="0"/>
        <w:autoSpaceDE/>
        <w:autoSpaceDN/>
        <w:bidi w:val="0"/>
        <w:adjustRightInd/>
        <w:snapToGrid/>
        <w:spacing w:line="480" w:lineRule="exact"/>
        <w:ind w:firstLine="240" w:firstLineChars="100"/>
        <w:jc w:val="distribute"/>
        <w:textAlignment w:val="auto"/>
        <w:rPr>
          <w:rFonts w:hint="eastAsia"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第三章 “十四五”时期发展的指导思想和基本要求</w:t>
      </w:r>
      <w:r>
        <w:rPr>
          <w:rFonts w:hint="eastAsia" w:ascii="黑体" w:hAnsi="黑体" w:eastAsia="黑体"/>
          <w:color w:val="000000" w:themeColor="text1"/>
          <w:sz w:val="24"/>
          <w:szCs w:val="24"/>
          <w:lang w:val="en-US" w:eastAsia="zh-CN"/>
          <w14:textFill>
            <w14:solidFill>
              <w14:schemeClr w14:val="tx1"/>
            </w14:solidFill>
          </w14:textFill>
        </w:rPr>
        <w:t>………………………………</w:t>
      </w:r>
      <w:r>
        <w:rPr>
          <w:rFonts w:hint="eastAsia" w:ascii="黑体" w:hAnsi="黑体" w:eastAsia="黑体"/>
          <w:color w:val="000000" w:themeColor="text1"/>
          <w:sz w:val="24"/>
          <w:szCs w:val="24"/>
          <w14:textFill>
            <w14:solidFill>
              <w14:schemeClr w14:val="tx1"/>
            </w14:solidFill>
          </w14:textFill>
        </w:rPr>
        <w:t>13</w:t>
      </w:r>
    </w:p>
    <w:p w14:paraId="6FB7361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distribute"/>
        <w:textAlignment w:val="auto"/>
        <w:rPr>
          <w:rFonts w:hint="eastAsia" w:ascii="楷体_GB2312" w:hAnsi="楷体_GB2312" w:eastAsia="楷体_GB2312" w:cs="楷体_GB2312"/>
          <w:color w:val="000000" w:themeColor="text1"/>
          <w:sz w:val="24"/>
          <w:szCs w:val="24"/>
          <w14:textFill>
            <w14:solidFill>
              <w14:schemeClr w14:val="tx1"/>
            </w14:solidFill>
          </w14:textFill>
        </w:rPr>
      </w:pPr>
      <w:r>
        <w:rPr>
          <w:rFonts w:hint="eastAsia" w:ascii="楷体_GB2312" w:hAnsi="楷体_GB2312" w:eastAsia="楷体_GB2312" w:cs="楷体_GB2312"/>
          <w:color w:val="000000" w:themeColor="text1"/>
          <w:sz w:val="24"/>
          <w:szCs w:val="24"/>
          <w14:textFill>
            <w14:solidFill>
              <w14:schemeClr w14:val="tx1"/>
            </w14:solidFill>
          </w14:textFill>
        </w:rPr>
        <w:t>一、指导思想</w:t>
      </w:r>
      <w:r>
        <w:rPr>
          <w:rFonts w:hint="eastAsia" w:ascii="楷体_GB2312" w:hAnsi="楷体_GB2312" w:eastAsia="楷体_GB2312" w:cs="楷体_GB2312"/>
          <w:color w:val="000000" w:themeColor="text1"/>
          <w:sz w:val="24"/>
          <w:szCs w:val="24"/>
          <w:lang w:val="en-US" w:eastAsia="zh-CN"/>
          <w14:textFill>
            <w14:solidFill>
              <w14:schemeClr w14:val="tx1"/>
            </w14:solidFill>
          </w14:textFill>
        </w:rPr>
        <w:t>…………………………………………………………………………</w:t>
      </w:r>
      <w:r>
        <w:rPr>
          <w:rFonts w:hint="eastAsia" w:ascii="楷体_GB2312" w:hAnsi="楷体_GB2312" w:eastAsia="楷体_GB2312" w:cs="楷体_GB2312"/>
          <w:color w:val="000000" w:themeColor="text1"/>
          <w:sz w:val="24"/>
          <w:szCs w:val="24"/>
          <w14:textFill>
            <w14:solidFill>
              <w14:schemeClr w14:val="tx1"/>
            </w14:solidFill>
          </w14:textFill>
        </w:rPr>
        <w:t>13</w:t>
      </w:r>
    </w:p>
    <w:p w14:paraId="3860DA7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distribute"/>
        <w:textAlignment w:val="auto"/>
        <w:rPr>
          <w:rFonts w:hint="eastAsia" w:ascii="楷体_GB2312" w:hAnsi="楷体_GB2312" w:eastAsia="楷体_GB2312" w:cs="楷体_GB2312"/>
          <w:color w:val="000000" w:themeColor="text1"/>
          <w:sz w:val="24"/>
          <w:szCs w:val="24"/>
          <w14:textFill>
            <w14:solidFill>
              <w14:schemeClr w14:val="tx1"/>
            </w14:solidFill>
          </w14:textFill>
        </w:rPr>
      </w:pPr>
      <w:r>
        <w:rPr>
          <w:rFonts w:hint="eastAsia" w:ascii="楷体_GB2312" w:hAnsi="楷体_GB2312" w:eastAsia="楷体_GB2312" w:cs="楷体_GB2312"/>
          <w:color w:val="000000" w:themeColor="text1"/>
          <w:sz w:val="24"/>
          <w:szCs w:val="24"/>
          <w14:textFill>
            <w14:solidFill>
              <w14:schemeClr w14:val="tx1"/>
            </w14:solidFill>
          </w14:textFill>
        </w:rPr>
        <w:t>二、基本要求</w:t>
      </w:r>
      <w:r>
        <w:rPr>
          <w:rFonts w:hint="eastAsia" w:ascii="楷体_GB2312" w:hAnsi="楷体_GB2312" w:eastAsia="楷体_GB2312" w:cs="楷体_GB2312"/>
          <w:color w:val="000000" w:themeColor="text1"/>
          <w:sz w:val="24"/>
          <w:szCs w:val="24"/>
          <w:lang w:val="en-US" w:eastAsia="zh-CN"/>
          <w14:textFill>
            <w14:solidFill>
              <w14:schemeClr w14:val="tx1"/>
            </w14:solidFill>
          </w14:textFill>
        </w:rPr>
        <w:t>…………………………………………………………………………</w:t>
      </w:r>
      <w:r>
        <w:rPr>
          <w:rFonts w:hint="eastAsia" w:ascii="楷体_GB2312" w:hAnsi="楷体_GB2312" w:eastAsia="楷体_GB2312" w:cs="楷体_GB2312"/>
          <w:color w:val="000000" w:themeColor="text1"/>
          <w:sz w:val="24"/>
          <w:szCs w:val="24"/>
          <w14:textFill>
            <w14:solidFill>
              <w14:schemeClr w14:val="tx1"/>
            </w14:solidFill>
          </w14:textFill>
        </w:rPr>
        <w:t>13</w:t>
      </w:r>
    </w:p>
    <w:p w14:paraId="7658B314">
      <w:pPr>
        <w:keepNext w:val="0"/>
        <w:keepLines w:val="0"/>
        <w:pageBreakBefore w:val="0"/>
        <w:widowControl w:val="0"/>
        <w:kinsoku/>
        <w:wordWrap/>
        <w:overflowPunct/>
        <w:topLinePunct w:val="0"/>
        <w:autoSpaceDE/>
        <w:autoSpaceDN/>
        <w:bidi w:val="0"/>
        <w:adjustRightInd/>
        <w:snapToGrid/>
        <w:spacing w:line="480" w:lineRule="exact"/>
        <w:ind w:firstLine="240" w:firstLineChars="100"/>
        <w:jc w:val="distribute"/>
        <w:textAlignment w:val="auto"/>
        <w:rPr>
          <w:rFonts w:hint="eastAsia"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第四章 “十四五”时期清河县发展定位和主要目标</w:t>
      </w:r>
      <w:r>
        <w:rPr>
          <w:rFonts w:hint="eastAsia" w:ascii="黑体" w:hAnsi="黑体" w:eastAsia="黑体"/>
          <w:color w:val="000000" w:themeColor="text1"/>
          <w:sz w:val="24"/>
          <w:szCs w:val="24"/>
          <w:lang w:val="en-US" w:eastAsia="zh-CN"/>
          <w14:textFill>
            <w14:solidFill>
              <w14:schemeClr w14:val="tx1"/>
            </w14:solidFill>
          </w14:textFill>
        </w:rPr>
        <w:t>………………………………</w:t>
      </w:r>
      <w:r>
        <w:rPr>
          <w:rFonts w:hint="eastAsia" w:ascii="黑体" w:hAnsi="黑体" w:eastAsia="黑体"/>
          <w:color w:val="000000" w:themeColor="text1"/>
          <w:sz w:val="24"/>
          <w:szCs w:val="24"/>
          <w14:textFill>
            <w14:solidFill>
              <w14:schemeClr w14:val="tx1"/>
            </w14:solidFill>
          </w14:textFill>
        </w:rPr>
        <w:t>15</w:t>
      </w:r>
    </w:p>
    <w:p w14:paraId="4471E58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distribute"/>
        <w:textAlignment w:val="auto"/>
        <w:rPr>
          <w:rFonts w:hint="eastAsia" w:ascii="楷体_GB2312" w:hAnsi="楷体_GB2312" w:eastAsia="楷体_GB2312" w:cs="楷体_GB2312"/>
          <w:color w:val="000000" w:themeColor="text1"/>
          <w:sz w:val="24"/>
          <w:szCs w:val="24"/>
          <w14:textFill>
            <w14:solidFill>
              <w14:schemeClr w14:val="tx1"/>
            </w14:solidFill>
          </w14:textFill>
        </w:rPr>
      </w:pPr>
      <w:r>
        <w:rPr>
          <w:rFonts w:hint="eastAsia" w:ascii="楷体_GB2312" w:hAnsi="楷体_GB2312" w:eastAsia="楷体_GB2312" w:cs="楷体_GB2312"/>
          <w:color w:val="000000" w:themeColor="text1"/>
          <w:sz w:val="24"/>
          <w:szCs w:val="24"/>
          <w14:textFill>
            <w14:solidFill>
              <w14:schemeClr w14:val="tx1"/>
            </w14:solidFill>
          </w14:textFill>
        </w:rPr>
        <w:t>一、发展定位</w:t>
      </w:r>
      <w:r>
        <w:rPr>
          <w:rFonts w:hint="eastAsia" w:ascii="楷体_GB2312" w:hAnsi="楷体_GB2312" w:eastAsia="楷体_GB2312" w:cs="楷体_GB2312"/>
          <w:color w:val="000000" w:themeColor="text1"/>
          <w:sz w:val="24"/>
          <w:szCs w:val="24"/>
          <w:lang w:val="en-US" w:eastAsia="zh-CN"/>
          <w14:textFill>
            <w14:solidFill>
              <w14:schemeClr w14:val="tx1"/>
            </w14:solidFill>
          </w14:textFill>
        </w:rPr>
        <w:t>…………………………………………………………………………</w:t>
      </w:r>
      <w:r>
        <w:rPr>
          <w:rFonts w:hint="eastAsia" w:ascii="楷体_GB2312" w:hAnsi="楷体_GB2312" w:eastAsia="楷体_GB2312" w:cs="楷体_GB2312"/>
          <w:color w:val="000000" w:themeColor="text1"/>
          <w:sz w:val="24"/>
          <w:szCs w:val="24"/>
          <w14:textFill>
            <w14:solidFill>
              <w14:schemeClr w14:val="tx1"/>
            </w14:solidFill>
          </w14:textFill>
        </w:rPr>
        <w:t>15</w:t>
      </w:r>
    </w:p>
    <w:p w14:paraId="38A44B10">
      <w:pPr>
        <w:keepNext w:val="0"/>
        <w:keepLines w:val="0"/>
        <w:pageBreakBefore w:val="0"/>
        <w:widowControl w:val="0"/>
        <w:kinsoku/>
        <w:wordWrap/>
        <w:overflowPunct/>
        <w:topLinePunct w:val="0"/>
        <w:autoSpaceDE/>
        <w:autoSpaceDN/>
        <w:bidi w:val="0"/>
        <w:adjustRightInd/>
        <w:snapToGrid/>
        <w:spacing w:line="480" w:lineRule="exact"/>
        <w:ind w:firstLine="720" w:firstLineChars="300"/>
        <w:jc w:val="distribute"/>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（一）城市定位：一城三区</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15</w:t>
      </w:r>
    </w:p>
    <w:p w14:paraId="58185593">
      <w:pPr>
        <w:keepNext w:val="0"/>
        <w:keepLines w:val="0"/>
        <w:pageBreakBefore w:val="0"/>
        <w:widowControl w:val="0"/>
        <w:kinsoku/>
        <w:wordWrap/>
        <w:overflowPunct/>
        <w:topLinePunct w:val="0"/>
        <w:autoSpaceDE/>
        <w:autoSpaceDN/>
        <w:bidi w:val="0"/>
        <w:adjustRightInd/>
        <w:snapToGrid/>
        <w:spacing w:line="480" w:lineRule="exact"/>
        <w:ind w:firstLine="720" w:firstLineChars="300"/>
        <w:jc w:val="distribute"/>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（二）功能布局：一核三带</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15</w:t>
      </w:r>
    </w:p>
    <w:p w14:paraId="061C8DA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distribute"/>
        <w:textAlignment w:val="auto"/>
        <w:rPr>
          <w:rFonts w:hint="eastAsia" w:ascii="楷体_GB2312" w:hAnsi="楷体_GB2312" w:eastAsia="楷体_GB2312" w:cs="楷体_GB2312"/>
          <w:color w:val="000000" w:themeColor="text1"/>
          <w:sz w:val="24"/>
          <w:szCs w:val="24"/>
          <w14:textFill>
            <w14:solidFill>
              <w14:schemeClr w14:val="tx1"/>
            </w14:solidFill>
          </w14:textFill>
        </w:rPr>
      </w:pPr>
      <w:r>
        <w:rPr>
          <w:rFonts w:hint="eastAsia" w:ascii="楷体_GB2312" w:hAnsi="楷体_GB2312" w:eastAsia="楷体_GB2312" w:cs="楷体_GB2312"/>
          <w:color w:val="000000" w:themeColor="text1"/>
          <w:sz w:val="24"/>
          <w:szCs w:val="24"/>
          <w14:textFill>
            <w14:solidFill>
              <w14:schemeClr w14:val="tx1"/>
            </w14:solidFill>
          </w14:textFill>
        </w:rPr>
        <w:t>二、发展目标</w:t>
      </w:r>
      <w:r>
        <w:rPr>
          <w:rFonts w:hint="eastAsia" w:ascii="楷体_GB2312" w:hAnsi="楷体_GB2312" w:eastAsia="楷体_GB2312" w:cs="楷体_GB2312"/>
          <w:color w:val="000000" w:themeColor="text1"/>
          <w:sz w:val="24"/>
          <w:szCs w:val="24"/>
          <w:lang w:val="en-US" w:eastAsia="zh-CN"/>
          <w14:textFill>
            <w14:solidFill>
              <w14:schemeClr w14:val="tx1"/>
            </w14:solidFill>
          </w14:textFill>
        </w:rPr>
        <w:t>…………………………………………………………………………</w:t>
      </w:r>
      <w:r>
        <w:rPr>
          <w:rFonts w:hint="eastAsia" w:ascii="楷体_GB2312" w:hAnsi="楷体_GB2312" w:eastAsia="楷体_GB2312" w:cs="楷体_GB2312"/>
          <w:color w:val="000000" w:themeColor="text1"/>
          <w:sz w:val="24"/>
          <w:szCs w:val="24"/>
          <w14:textFill>
            <w14:solidFill>
              <w14:schemeClr w14:val="tx1"/>
            </w14:solidFill>
          </w14:textFill>
        </w:rPr>
        <w:t>16</w:t>
      </w:r>
    </w:p>
    <w:p w14:paraId="2E526465">
      <w:pPr>
        <w:keepNext w:val="0"/>
        <w:keepLines w:val="0"/>
        <w:pageBreakBefore w:val="0"/>
        <w:widowControl w:val="0"/>
        <w:kinsoku/>
        <w:wordWrap/>
        <w:overflowPunct/>
        <w:topLinePunct w:val="0"/>
        <w:autoSpaceDE/>
        <w:autoSpaceDN/>
        <w:bidi w:val="0"/>
        <w:adjustRightInd/>
        <w:snapToGrid/>
        <w:spacing w:line="480" w:lineRule="exact"/>
        <w:ind w:firstLine="720" w:firstLineChars="300"/>
        <w:jc w:val="distribute"/>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（一）综合实力更强</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16</w:t>
      </w:r>
    </w:p>
    <w:p w14:paraId="12D97CD7">
      <w:pPr>
        <w:keepNext w:val="0"/>
        <w:keepLines w:val="0"/>
        <w:pageBreakBefore w:val="0"/>
        <w:widowControl w:val="0"/>
        <w:kinsoku/>
        <w:wordWrap/>
        <w:overflowPunct/>
        <w:topLinePunct w:val="0"/>
        <w:autoSpaceDE/>
        <w:autoSpaceDN/>
        <w:bidi w:val="0"/>
        <w:adjustRightInd/>
        <w:snapToGrid/>
        <w:spacing w:line="480" w:lineRule="exact"/>
        <w:ind w:firstLine="720" w:firstLineChars="300"/>
        <w:jc w:val="distribute"/>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（二）城乡发展更快</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17</w:t>
      </w:r>
    </w:p>
    <w:p w14:paraId="4284AD86">
      <w:pPr>
        <w:keepNext w:val="0"/>
        <w:keepLines w:val="0"/>
        <w:pageBreakBefore w:val="0"/>
        <w:widowControl w:val="0"/>
        <w:kinsoku/>
        <w:wordWrap/>
        <w:overflowPunct/>
        <w:topLinePunct w:val="0"/>
        <w:autoSpaceDE/>
        <w:autoSpaceDN/>
        <w:bidi w:val="0"/>
        <w:adjustRightInd/>
        <w:snapToGrid/>
        <w:spacing w:line="480" w:lineRule="exact"/>
        <w:ind w:firstLine="720" w:firstLineChars="300"/>
        <w:jc w:val="distribute"/>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（三）发展动力更足</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17</w:t>
      </w:r>
    </w:p>
    <w:p w14:paraId="0F9A0940">
      <w:pPr>
        <w:keepNext w:val="0"/>
        <w:keepLines w:val="0"/>
        <w:pageBreakBefore w:val="0"/>
        <w:widowControl w:val="0"/>
        <w:kinsoku/>
        <w:wordWrap/>
        <w:overflowPunct/>
        <w:topLinePunct w:val="0"/>
        <w:autoSpaceDE/>
        <w:autoSpaceDN/>
        <w:bidi w:val="0"/>
        <w:adjustRightInd/>
        <w:snapToGrid/>
        <w:spacing w:line="480" w:lineRule="exact"/>
        <w:ind w:firstLine="720" w:firstLineChars="300"/>
        <w:jc w:val="distribute"/>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（四）生态环境更美</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17</w:t>
      </w:r>
    </w:p>
    <w:p w14:paraId="7E511A45">
      <w:pPr>
        <w:keepNext w:val="0"/>
        <w:keepLines w:val="0"/>
        <w:pageBreakBefore w:val="0"/>
        <w:widowControl w:val="0"/>
        <w:kinsoku/>
        <w:wordWrap/>
        <w:overflowPunct/>
        <w:topLinePunct w:val="0"/>
        <w:autoSpaceDE/>
        <w:autoSpaceDN/>
        <w:bidi w:val="0"/>
        <w:adjustRightInd/>
        <w:snapToGrid/>
        <w:spacing w:line="480" w:lineRule="exact"/>
        <w:ind w:firstLine="720" w:firstLineChars="300"/>
        <w:jc w:val="distribute"/>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（五）人民生活更好</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17</w:t>
      </w:r>
    </w:p>
    <w:p w14:paraId="3208EED3">
      <w:pPr>
        <w:keepNext w:val="0"/>
        <w:keepLines w:val="0"/>
        <w:pageBreakBefore w:val="0"/>
        <w:widowControl w:val="0"/>
        <w:kinsoku/>
        <w:wordWrap/>
        <w:overflowPunct/>
        <w:topLinePunct w:val="0"/>
        <w:autoSpaceDE/>
        <w:autoSpaceDN/>
        <w:bidi w:val="0"/>
        <w:adjustRightInd/>
        <w:snapToGrid/>
        <w:spacing w:line="480" w:lineRule="exact"/>
        <w:ind w:firstLine="720" w:firstLineChars="300"/>
        <w:jc w:val="distribute"/>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（六）社会治理更优</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17</w:t>
      </w:r>
    </w:p>
    <w:p w14:paraId="0A106EE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distribute"/>
        <w:textAlignment w:val="auto"/>
        <w:rPr>
          <w:rFonts w:hint="eastAsia" w:ascii="楷体_GB2312" w:hAnsi="楷体_GB2312" w:eastAsia="楷体_GB2312" w:cs="楷体_GB2312"/>
          <w:color w:val="000000" w:themeColor="text1"/>
          <w:sz w:val="24"/>
          <w:szCs w:val="24"/>
          <w14:textFill>
            <w14:solidFill>
              <w14:schemeClr w14:val="tx1"/>
            </w14:solidFill>
          </w14:textFill>
        </w:rPr>
      </w:pPr>
      <w:r>
        <w:rPr>
          <w:rFonts w:hint="eastAsia" w:ascii="楷体_GB2312" w:hAnsi="楷体_GB2312" w:eastAsia="楷体_GB2312" w:cs="楷体_GB2312"/>
          <w:color w:val="000000" w:themeColor="text1"/>
          <w:sz w:val="24"/>
          <w:szCs w:val="24"/>
          <w14:textFill>
            <w14:solidFill>
              <w14:schemeClr w14:val="tx1"/>
            </w14:solidFill>
          </w14:textFill>
        </w:rPr>
        <w:t>三、远景目标</w:t>
      </w:r>
      <w:r>
        <w:rPr>
          <w:rFonts w:hint="eastAsia" w:ascii="楷体_GB2312" w:hAnsi="楷体_GB2312" w:eastAsia="楷体_GB2312" w:cs="楷体_GB2312"/>
          <w:color w:val="000000" w:themeColor="text1"/>
          <w:sz w:val="24"/>
          <w:szCs w:val="24"/>
          <w:lang w:val="en-US" w:eastAsia="zh-CN"/>
          <w14:textFill>
            <w14:solidFill>
              <w14:schemeClr w14:val="tx1"/>
            </w14:solidFill>
          </w14:textFill>
        </w:rPr>
        <w:t>…………………………………………………………………………</w:t>
      </w:r>
      <w:r>
        <w:rPr>
          <w:rFonts w:hint="eastAsia" w:ascii="楷体_GB2312" w:hAnsi="楷体_GB2312" w:eastAsia="楷体_GB2312" w:cs="楷体_GB2312"/>
          <w:color w:val="000000" w:themeColor="text1"/>
          <w:sz w:val="24"/>
          <w:szCs w:val="24"/>
          <w14:textFill>
            <w14:solidFill>
              <w14:schemeClr w14:val="tx1"/>
            </w14:solidFill>
          </w14:textFill>
        </w:rPr>
        <w:t>19</w:t>
      </w:r>
    </w:p>
    <w:p w14:paraId="2654D3A0">
      <w:pPr>
        <w:keepNext w:val="0"/>
        <w:keepLines w:val="0"/>
        <w:pageBreakBefore w:val="0"/>
        <w:widowControl w:val="0"/>
        <w:kinsoku/>
        <w:wordWrap/>
        <w:overflowPunct/>
        <w:topLinePunct w:val="0"/>
        <w:autoSpaceDE/>
        <w:autoSpaceDN/>
        <w:bidi w:val="0"/>
        <w:adjustRightInd/>
        <w:snapToGrid/>
        <w:spacing w:line="480" w:lineRule="exact"/>
        <w:ind w:firstLine="240" w:firstLineChars="100"/>
        <w:jc w:val="distribute"/>
        <w:textAlignment w:val="auto"/>
        <w:rPr>
          <w:rFonts w:hint="eastAsia"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第五章 “十四五”时期清河高质量赶超发展的重点任务</w:t>
      </w:r>
      <w:r>
        <w:rPr>
          <w:rFonts w:hint="eastAsia" w:ascii="黑体" w:hAnsi="黑体" w:eastAsia="黑体"/>
          <w:color w:val="000000" w:themeColor="text1"/>
          <w:sz w:val="24"/>
          <w:szCs w:val="24"/>
          <w:lang w:val="en-US" w:eastAsia="zh-CN"/>
          <w14:textFill>
            <w14:solidFill>
              <w14:schemeClr w14:val="tx1"/>
            </w14:solidFill>
          </w14:textFill>
        </w:rPr>
        <w:t>…………………………</w:t>
      </w:r>
      <w:r>
        <w:rPr>
          <w:rFonts w:hint="eastAsia" w:ascii="黑体" w:hAnsi="黑体" w:eastAsia="黑体"/>
          <w:color w:val="000000" w:themeColor="text1"/>
          <w:sz w:val="24"/>
          <w:szCs w:val="24"/>
          <w14:textFill>
            <w14:solidFill>
              <w14:schemeClr w14:val="tx1"/>
            </w14:solidFill>
          </w14:textFill>
        </w:rPr>
        <w:t>20</w:t>
      </w:r>
    </w:p>
    <w:p w14:paraId="24ABD9A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distribute"/>
        <w:textAlignment w:val="auto"/>
        <w:rPr>
          <w:rFonts w:hint="eastAsia" w:ascii="楷体_GB2312" w:hAnsi="楷体_GB2312" w:eastAsia="楷体_GB2312" w:cs="楷体_GB2312"/>
          <w:color w:val="000000" w:themeColor="text1"/>
          <w:sz w:val="24"/>
          <w:szCs w:val="24"/>
          <w14:textFill>
            <w14:solidFill>
              <w14:schemeClr w14:val="tx1"/>
            </w14:solidFill>
          </w14:textFill>
        </w:rPr>
      </w:pPr>
      <w:r>
        <w:rPr>
          <w:rFonts w:hint="eastAsia" w:ascii="楷体_GB2312" w:hAnsi="楷体_GB2312" w:eastAsia="楷体_GB2312" w:cs="楷体_GB2312"/>
          <w:color w:val="000000" w:themeColor="text1"/>
          <w:sz w:val="24"/>
          <w:szCs w:val="24"/>
          <w14:textFill>
            <w14:solidFill>
              <w14:schemeClr w14:val="tx1"/>
            </w14:solidFill>
          </w14:textFill>
        </w:rPr>
        <w:t>一、突出创新引领，塑造高质量赶超发展新优势</w:t>
      </w:r>
      <w:r>
        <w:rPr>
          <w:rFonts w:hint="eastAsia" w:ascii="楷体_GB2312" w:hAnsi="楷体_GB2312" w:eastAsia="楷体_GB2312" w:cs="楷体_GB2312"/>
          <w:color w:val="000000" w:themeColor="text1"/>
          <w:sz w:val="24"/>
          <w:szCs w:val="24"/>
          <w:lang w:val="en-US" w:eastAsia="zh-CN"/>
          <w14:textFill>
            <w14:solidFill>
              <w14:schemeClr w14:val="tx1"/>
            </w14:solidFill>
          </w14:textFill>
        </w:rPr>
        <w:t>…………………………………</w:t>
      </w:r>
      <w:r>
        <w:rPr>
          <w:rFonts w:hint="eastAsia" w:ascii="楷体_GB2312" w:hAnsi="楷体_GB2312" w:eastAsia="楷体_GB2312" w:cs="楷体_GB2312"/>
          <w:color w:val="000000" w:themeColor="text1"/>
          <w:sz w:val="24"/>
          <w:szCs w:val="24"/>
          <w14:textFill>
            <w14:solidFill>
              <w14:schemeClr w14:val="tx1"/>
            </w14:solidFill>
          </w14:textFill>
        </w:rPr>
        <w:t>20</w:t>
      </w:r>
    </w:p>
    <w:p w14:paraId="1D4B88F4">
      <w:pPr>
        <w:keepNext w:val="0"/>
        <w:keepLines w:val="0"/>
        <w:pageBreakBefore w:val="0"/>
        <w:widowControl w:val="0"/>
        <w:kinsoku/>
        <w:wordWrap/>
        <w:overflowPunct/>
        <w:topLinePunct w:val="0"/>
        <w:autoSpaceDE/>
        <w:autoSpaceDN/>
        <w:bidi w:val="0"/>
        <w:adjustRightInd/>
        <w:snapToGrid/>
        <w:spacing w:line="480" w:lineRule="exact"/>
        <w:ind w:firstLine="720" w:firstLineChars="300"/>
        <w:jc w:val="distribute"/>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（一）优化创新环境</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20</w:t>
      </w:r>
    </w:p>
    <w:p w14:paraId="0E921E66">
      <w:pPr>
        <w:keepNext w:val="0"/>
        <w:keepLines w:val="0"/>
        <w:pageBreakBefore w:val="0"/>
        <w:widowControl w:val="0"/>
        <w:kinsoku/>
        <w:wordWrap/>
        <w:overflowPunct/>
        <w:topLinePunct w:val="0"/>
        <w:autoSpaceDE/>
        <w:autoSpaceDN/>
        <w:bidi w:val="0"/>
        <w:adjustRightInd/>
        <w:snapToGrid/>
        <w:spacing w:line="480" w:lineRule="exact"/>
        <w:ind w:firstLine="720" w:firstLineChars="300"/>
        <w:jc w:val="distribute"/>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（二）健全创新平台</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20</w:t>
      </w:r>
    </w:p>
    <w:p w14:paraId="27F29EAE">
      <w:pPr>
        <w:keepNext w:val="0"/>
        <w:keepLines w:val="0"/>
        <w:pageBreakBefore w:val="0"/>
        <w:widowControl w:val="0"/>
        <w:kinsoku/>
        <w:wordWrap/>
        <w:overflowPunct/>
        <w:topLinePunct w:val="0"/>
        <w:autoSpaceDE/>
        <w:autoSpaceDN/>
        <w:bidi w:val="0"/>
        <w:adjustRightInd/>
        <w:snapToGrid/>
        <w:spacing w:line="480" w:lineRule="exact"/>
        <w:ind w:firstLine="720" w:firstLineChars="300"/>
        <w:jc w:val="distribute"/>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（三）培育创新主体</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21</w:t>
      </w:r>
    </w:p>
    <w:p w14:paraId="38AD1752">
      <w:pPr>
        <w:keepNext w:val="0"/>
        <w:keepLines w:val="0"/>
        <w:pageBreakBefore w:val="0"/>
        <w:widowControl w:val="0"/>
        <w:kinsoku/>
        <w:wordWrap/>
        <w:overflowPunct/>
        <w:topLinePunct w:val="0"/>
        <w:autoSpaceDE/>
        <w:autoSpaceDN/>
        <w:bidi w:val="0"/>
        <w:adjustRightInd/>
        <w:snapToGrid/>
        <w:spacing w:line="480" w:lineRule="exact"/>
        <w:ind w:firstLine="720" w:firstLineChars="300"/>
        <w:jc w:val="distribute"/>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（四）聚集创新人才</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21</w:t>
      </w:r>
    </w:p>
    <w:p w14:paraId="42C08C8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distribute"/>
        <w:textAlignment w:val="auto"/>
        <w:rPr>
          <w:rFonts w:hint="eastAsia" w:ascii="楷体_GB2312" w:hAnsi="楷体_GB2312" w:eastAsia="楷体_GB2312" w:cs="楷体_GB2312"/>
          <w:color w:val="000000" w:themeColor="text1"/>
          <w:sz w:val="24"/>
          <w:szCs w:val="24"/>
          <w14:textFill>
            <w14:solidFill>
              <w14:schemeClr w14:val="tx1"/>
            </w14:solidFill>
          </w14:textFill>
        </w:rPr>
      </w:pPr>
      <w:r>
        <w:rPr>
          <w:rFonts w:hint="eastAsia" w:ascii="楷体_GB2312" w:hAnsi="楷体_GB2312" w:eastAsia="楷体_GB2312" w:cs="楷体_GB2312"/>
          <w:color w:val="000000" w:themeColor="text1"/>
          <w:sz w:val="24"/>
          <w:szCs w:val="24"/>
          <w14:textFill>
            <w14:solidFill>
              <w14:schemeClr w14:val="tx1"/>
            </w14:solidFill>
          </w14:textFill>
        </w:rPr>
        <w:t>二、聚焦服务提质，激发高质量赶超发展新活力</w:t>
      </w:r>
      <w:r>
        <w:rPr>
          <w:rFonts w:hint="eastAsia" w:ascii="楷体_GB2312" w:hAnsi="楷体_GB2312" w:eastAsia="楷体_GB2312" w:cs="楷体_GB2312"/>
          <w:color w:val="000000" w:themeColor="text1"/>
          <w:sz w:val="24"/>
          <w:szCs w:val="24"/>
          <w:lang w:val="en-US" w:eastAsia="zh-CN"/>
          <w14:textFill>
            <w14:solidFill>
              <w14:schemeClr w14:val="tx1"/>
            </w14:solidFill>
          </w14:textFill>
        </w:rPr>
        <w:t>…………………………………</w:t>
      </w:r>
      <w:r>
        <w:rPr>
          <w:rFonts w:hint="eastAsia" w:ascii="楷体_GB2312" w:hAnsi="楷体_GB2312" w:eastAsia="楷体_GB2312" w:cs="楷体_GB2312"/>
          <w:color w:val="000000" w:themeColor="text1"/>
          <w:sz w:val="24"/>
          <w:szCs w:val="24"/>
          <w14:textFill>
            <w14:solidFill>
              <w14:schemeClr w14:val="tx1"/>
            </w14:solidFill>
          </w14:textFill>
        </w:rPr>
        <w:t>22</w:t>
      </w:r>
    </w:p>
    <w:p w14:paraId="594B19E1">
      <w:pPr>
        <w:keepNext w:val="0"/>
        <w:keepLines w:val="0"/>
        <w:pageBreakBefore w:val="0"/>
        <w:widowControl w:val="0"/>
        <w:kinsoku/>
        <w:wordWrap/>
        <w:overflowPunct/>
        <w:topLinePunct w:val="0"/>
        <w:autoSpaceDE/>
        <w:autoSpaceDN/>
        <w:bidi w:val="0"/>
        <w:adjustRightInd/>
        <w:snapToGrid/>
        <w:spacing w:line="480" w:lineRule="exact"/>
        <w:ind w:firstLine="720" w:firstLineChars="300"/>
        <w:jc w:val="distribute"/>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（一）营造一流服务环境</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22</w:t>
      </w:r>
    </w:p>
    <w:p w14:paraId="418E0DB1">
      <w:pPr>
        <w:keepNext w:val="0"/>
        <w:keepLines w:val="0"/>
        <w:pageBreakBefore w:val="0"/>
        <w:widowControl w:val="0"/>
        <w:kinsoku/>
        <w:wordWrap/>
        <w:overflowPunct/>
        <w:topLinePunct w:val="0"/>
        <w:autoSpaceDE/>
        <w:autoSpaceDN/>
        <w:bidi w:val="0"/>
        <w:adjustRightInd/>
        <w:snapToGrid/>
        <w:spacing w:line="480" w:lineRule="exact"/>
        <w:ind w:firstLine="720" w:firstLineChars="300"/>
        <w:jc w:val="distribute"/>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（二）深化“放管服”改革</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22</w:t>
      </w:r>
    </w:p>
    <w:p w14:paraId="5AD910C6">
      <w:pPr>
        <w:keepNext w:val="0"/>
        <w:keepLines w:val="0"/>
        <w:pageBreakBefore w:val="0"/>
        <w:widowControl w:val="0"/>
        <w:kinsoku/>
        <w:wordWrap/>
        <w:overflowPunct/>
        <w:topLinePunct w:val="0"/>
        <w:autoSpaceDE/>
        <w:autoSpaceDN/>
        <w:bidi w:val="0"/>
        <w:adjustRightInd/>
        <w:snapToGrid/>
        <w:spacing w:line="480" w:lineRule="exact"/>
        <w:ind w:firstLine="720" w:firstLineChars="300"/>
        <w:jc w:val="distribute"/>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（三）推进社会信用体系建设</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23</w:t>
      </w:r>
    </w:p>
    <w:p w14:paraId="32AE196F">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distribute"/>
        <w:textAlignment w:val="auto"/>
        <w:rPr>
          <w:rFonts w:hint="eastAsia" w:ascii="楷体_GB2312" w:hAnsi="楷体_GB2312" w:eastAsia="楷体_GB2312" w:cs="楷体_GB2312"/>
          <w:color w:val="000000" w:themeColor="text1"/>
          <w:sz w:val="24"/>
          <w:szCs w:val="24"/>
          <w14:textFill>
            <w14:solidFill>
              <w14:schemeClr w14:val="tx1"/>
            </w14:solidFill>
          </w14:textFill>
        </w:rPr>
      </w:pPr>
      <w:r>
        <w:rPr>
          <w:rFonts w:hint="eastAsia" w:ascii="楷体_GB2312" w:hAnsi="楷体_GB2312" w:eastAsia="楷体_GB2312" w:cs="楷体_GB2312"/>
          <w:color w:val="000000" w:themeColor="text1"/>
          <w:sz w:val="24"/>
          <w:szCs w:val="24"/>
          <w14:textFill>
            <w14:solidFill>
              <w14:schemeClr w14:val="tx1"/>
            </w14:solidFill>
          </w14:textFill>
        </w:rPr>
        <w:t>三、优化基础设施，提升高质量赶超发展承载力</w:t>
      </w:r>
      <w:r>
        <w:rPr>
          <w:rFonts w:hint="eastAsia" w:ascii="楷体_GB2312" w:hAnsi="楷体_GB2312" w:eastAsia="楷体_GB2312" w:cs="楷体_GB2312"/>
          <w:color w:val="000000" w:themeColor="text1"/>
          <w:sz w:val="24"/>
          <w:szCs w:val="24"/>
          <w:lang w:val="en-US" w:eastAsia="zh-CN"/>
          <w14:textFill>
            <w14:solidFill>
              <w14:schemeClr w14:val="tx1"/>
            </w14:solidFill>
          </w14:textFill>
        </w:rPr>
        <w:t>…………………………………</w:t>
      </w:r>
      <w:r>
        <w:rPr>
          <w:rFonts w:hint="eastAsia" w:ascii="楷体_GB2312" w:hAnsi="楷体_GB2312" w:eastAsia="楷体_GB2312" w:cs="楷体_GB2312"/>
          <w:color w:val="000000" w:themeColor="text1"/>
          <w:sz w:val="24"/>
          <w:szCs w:val="24"/>
          <w14:textFill>
            <w14:solidFill>
              <w14:schemeClr w14:val="tx1"/>
            </w14:solidFill>
          </w14:textFill>
        </w:rPr>
        <w:t>23</w:t>
      </w:r>
    </w:p>
    <w:p w14:paraId="64E2D3FB">
      <w:pPr>
        <w:keepNext w:val="0"/>
        <w:keepLines w:val="0"/>
        <w:pageBreakBefore w:val="0"/>
        <w:widowControl w:val="0"/>
        <w:kinsoku/>
        <w:wordWrap/>
        <w:overflowPunct/>
        <w:topLinePunct w:val="0"/>
        <w:autoSpaceDE/>
        <w:autoSpaceDN/>
        <w:bidi w:val="0"/>
        <w:adjustRightInd/>
        <w:snapToGrid/>
        <w:spacing w:line="480" w:lineRule="exact"/>
        <w:ind w:firstLine="720" w:firstLineChars="300"/>
        <w:jc w:val="distribute"/>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（一）统筹推进新型基础设施建设</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23</w:t>
      </w:r>
    </w:p>
    <w:p w14:paraId="7BF6F00E">
      <w:pPr>
        <w:keepNext w:val="0"/>
        <w:keepLines w:val="0"/>
        <w:pageBreakBefore w:val="0"/>
        <w:widowControl w:val="0"/>
        <w:kinsoku/>
        <w:wordWrap/>
        <w:overflowPunct/>
        <w:topLinePunct w:val="0"/>
        <w:autoSpaceDE/>
        <w:autoSpaceDN/>
        <w:bidi w:val="0"/>
        <w:adjustRightInd/>
        <w:snapToGrid/>
        <w:spacing w:line="480" w:lineRule="exact"/>
        <w:ind w:firstLine="720" w:firstLineChars="300"/>
        <w:jc w:val="distribute"/>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（二）构建现代化综合交通体系</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24</w:t>
      </w:r>
    </w:p>
    <w:p w14:paraId="51B09E42">
      <w:pPr>
        <w:keepNext w:val="0"/>
        <w:keepLines w:val="0"/>
        <w:pageBreakBefore w:val="0"/>
        <w:widowControl w:val="0"/>
        <w:kinsoku/>
        <w:wordWrap/>
        <w:overflowPunct/>
        <w:topLinePunct w:val="0"/>
        <w:autoSpaceDE/>
        <w:autoSpaceDN/>
        <w:bidi w:val="0"/>
        <w:adjustRightInd/>
        <w:snapToGrid/>
        <w:spacing w:line="480" w:lineRule="exact"/>
        <w:ind w:firstLine="720" w:firstLineChars="300"/>
        <w:jc w:val="distribute"/>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（三）加强水利基础设施建设</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24</w:t>
      </w:r>
    </w:p>
    <w:p w14:paraId="5D636D90">
      <w:pPr>
        <w:keepNext w:val="0"/>
        <w:keepLines w:val="0"/>
        <w:pageBreakBefore w:val="0"/>
        <w:widowControl w:val="0"/>
        <w:kinsoku/>
        <w:wordWrap/>
        <w:overflowPunct/>
        <w:topLinePunct w:val="0"/>
        <w:autoSpaceDE/>
        <w:autoSpaceDN/>
        <w:bidi w:val="0"/>
        <w:adjustRightInd/>
        <w:snapToGrid/>
        <w:spacing w:line="480" w:lineRule="exact"/>
        <w:ind w:firstLine="720" w:firstLineChars="300"/>
        <w:jc w:val="distribute"/>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（四）优化能源供应保障体系</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25</w:t>
      </w:r>
    </w:p>
    <w:p w14:paraId="0B9889E6">
      <w:pPr>
        <w:keepNext w:val="0"/>
        <w:keepLines w:val="0"/>
        <w:pageBreakBefore w:val="0"/>
        <w:widowControl w:val="0"/>
        <w:kinsoku/>
        <w:wordWrap/>
        <w:overflowPunct/>
        <w:topLinePunct w:val="0"/>
        <w:autoSpaceDE/>
        <w:autoSpaceDN/>
        <w:bidi w:val="0"/>
        <w:adjustRightInd/>
        <w:snapToGrid/>
        <w:spacing w:line="480" w:lineRule="exact"/>
        <w:ind w:firstLine="720" w:firstLineChars="300"/>
        <w:jc w:val="distribute"/>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（五）加快减灾防灾设施建设</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25</w:t>
      </w:r>
    </w:p>
    <w:p w14:paraId="2659ECA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distribute"/>
        <w:textAlignment w:val="auto"/>
        <w:rPr>
          <w:rFonts w:hint="eastAsia" w:ascii="楷体_GB2312" w:hAnsi="楷体_GB2312" w:eastAsia="楷体_GB2312" w:cs="楷体_GB2312"/>
          <w:color w:val="000000" w:themeColor="text1"/>
          <w:sz w:val="24"/>
          <w:szCs w:val="24"/>
          <w14:textFill>
            <w14:solidFill>
              <w14:schemeClr w14:val="tx1"/>
            </w14:solidFill>
          </w14:textFill>
        </w:rPr>
      </w:pPr>
      <w:r>
        <w:rPr>
          <w:rFonts w:hint="eastAsia" w:ascii="楷体_GB2312" w:hAnsi="楷体_GB2312" w:eastAsia="楷体_GB2312" w:cs="楷体_GB2312"/>
          <w:color w:val="000000" w:themeColor="text1"/>
          <w:sz w:val="24"/>
          <w:szCs w:val="24"/>
          <w14:textFill>
            <w14:solidFill>
              <w14:schemeClr w14:val="tx1"/>
            </w14:solidFill>
          </w14:textFill>
        </w:rPr>
        <w:t>四、强化招商选资，厚植高质量赶超发展新动能</w:t>
      </w:r>
      <w:r>
        <w:rPr>
          <w:rFonts w:hint="eastAsia" w:ascii="楷体_GB2312" w:hAnsi="楷体_GB2312" w:eastAsia="楷体_GB2312" w:cs="楷体_GB2312"/>
          <w:color w:val="000000" w:themeColor="text1"/>
          <w:sz w:val="24"/>
          <w:szCs w:val="24"/>
          <w:lang w:val="en-US" w:eastAsia="zh-CN"/>
          <w14:textFill>
            <w14:solidFill>
              <w14:schemeClr w14:val="tx1"/>
            </w14:solidFill>
          </w14:textFill>
        </w:rPr>
        <w:t>…………………………………</w:t>
      </w:r>
      <w:r>
        <w:rPr>
          <w:rFonts w:hint="eastAsia" w:ascii="楷体_GB2312" w:hAnsi="楷体_GB2312" w:eastAsia="楷体_GB2312" w:cs="楷体_GB2312"/>
          <w:color w:val="000000" w:themeColor="text1"/>
          <w:sz w:val="24"/>
          <w:szCs w:val="24"/>
          <w14:textFill>
            <w14:solidFill>
              <w14:schemeClr w14:val="tx1"/>
            </w14:solidFill>
          </w14:textFill>
        </w:rPr>
        <w:t>26</w:t>
      </w:r>
    </w:p>
    <w:p w14:paraId="1B590F51">
      <w:pPr>
        <w:keepNext w:val="0"/>
        <w:keepLines w:val="0"/>
        <w:pageBreakBefore w:val="0"/>
        <w:widowControl w:val="0"/>
        <w:kinsoku/>
        <w:wordWrap/>
        <w:overflowPunct/>
        <w:topLinePunct w:val="0"/>
        <w:autoSpaceDE/>
        <w:autoSpaceDN/>
        <w:bidi w:val="0"/>
        <w:adjustRightInd/>
        <w:snapToGrid/>
        <w:spacing w:line="480" w:lineRule="exact"/>
        <w:ind w:firstLine="720" w:firstLineChars="300"/>
        <w:jc w:val="distribute"/>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（一）狠抓招商选资</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26</w:t>
      </w:r>
    </w:p>
    <w:p w14:paraId="7E9B9A7E">
      <w:pPr>
        <w:keepNext w:val="0"/>
        <w:keepLines w:val="0"/>
        <w:pageBreakBefore w:val="0"/>
        <w:widowControl w:val="0"/>
        <w:kinsoku/>
        <w:wordWrap/>
        <w:overflowPunct/>
        <w:topLinePunct w:val="0"/>
        <w:autoSpaceDE/>
        <w:autoSpaceDN/>
        <w:bidi w:val="0"/>
        <w:adjustRightInd/>
        <w:snapToGrid/>
        <w:spacing w:line="480" w:lineRule="exact"/>
        <w:ind w:firstLine="720" w:firstLineChars="300"/>
        <w:jc w:val="distribute"/>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（二）加快项目“双进双产”</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26</w:t>
      </w:r>
    </w:p>
    <w:p w14:paraId="32E541EA">
      <w:pPr>
        <w:keepNext w:val="0"/>
        <w:keepLines w:val="0"/>
        <w:pageBreakBefore w:val="0"/>
        <w:widowControl w:val="0"/>
        <w:kinsoku/>
        <w:wordWrap/>
        <w:overflowPunct/>
        <w:topLinePunct w:val="0"/>
        <w:autoSpaceDE/>
        <w:autoSpaceDN/>
        <w:bidi w:val="0"/>
        <w:adjustRightInd/>
        <w:snapToGrid/>
        <w:spacing w:line="480" w:lineRule="exact"/>
        <w:ind w:firstLine="720" w:firstLineChars="300"/>
        <w:jc w:val="distribute"/>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（三）优化要素供给</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27</w:t>
      </w:r>
    </w:p>
    <w:p w14:paraId="0D96F150">
      <w:pPr>
        <w:keepNext w:val="0"/>
        <w:keepLines w:val="0"/>
        <w:pageBreakBefore w:val="0"/>
        <w:widowControl w:val="0"/>
        <w:kinsoku/>
        <w:wordWrap/>
        <w:overflowPunct/>
        <w:topLinePunct w:val="0"/>
        <w:autoSpaceDE/>
        <w:autoSpaceDN/>
        <w:bidi w:val="0"/>
        <w:adjustRightInd/>
        <w:snapToGrid/>
        <w:spacing w:line="480" w:lineRule="exact"/>
        <w:ind w:firstLine="720" w:firstLineChars="300"/>
        <w:jc w:val="distribute"/>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（四）借力京津，融入全国大循环双循环格局</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29</w:t>
      </w:r>
    </w:p>
    <w:p w14:paraId="405779CD">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distribute"/>
        <w:textAlignment w:val="auto"/>
        <w:rPr>
          <w:rFonts w:hint="eastAsia" w:ascii="楷体_GB2312" w:hAnsi="楷体_GB2312" w:eastAsia="楷体_GB2312" w:cs="楷体_GB2312"/>
          <w:color w:val="000000" w:themeColor="text1"/>
          <w:sz w:val="24"/>
          <w:szCs w:val="24"/>
          <w14:textFill>
            <w14:solidFill>
              <w14:schemeClr w14:val="tx1"/>
            </w14:solidFill>
          </w14:textFill>
        </w:rPr>
      </w:pPr>
      <w:r>
        <w:rPr>
          <w:rFonts w:hint="eastAsia" w:ascii="楷体_GB2312" w:hAnsi="楷体_GB2312" w:eastAsia="楷体_GB2312" w:cs="楷体_GB2312"/>
          <w:color w:val="000000" w:themeColor="text1"/>
          <w:sz w:val="24"/>
          <w:szCs w:val="24"/>
          <w14:textFill>
            <w14:solidFill>
              <w14:schemeClr w14:val="tx1"/>
            </w14:solidFill>
          </w14:textFill>
        </w:rPr>
        <w:t>五、聚焦产业升级，打造高质量赶超发展强引擎</w:t>
      </w:r>
      <w:r>
        <w:rPr>
          <w:rFonts w:hint="eastAsia" w:ascii="楷体_GB2312" w:hAnsi="楷体_GB2312" w:eastAsia="楷体_GB2312" w:cs="楷体_GB2312"/>
          <w:color w:val="000000" w:themeColor="text1"/>
          <w:sz w:val="24"/>
          <w:szCs w:val="24"/>
          <w:lang w:val="en-US" w:eastAsia="zh-CN"/>
          <w14:textFill>
            <w14:solidFill>
              <w14:schemeClr w14:val="tx1"/>
            </w14:solidFill>
          </w14:textFill>
        </w:rPr>
        <w:t>…………………………………</w:t>
      </w:r>
      <w:r>
        <w:rPr>
          <w:rFonts w:hint="eastAsia" w:ascii="楷体_GB2312" w:hAnsi="楷体_GB2312" w:eastAsia="楷体_GB2312" w:cs="楷体_GB2312"/>
          <w:color w:val="000000" w:themeColor="text1"/>
          <w:sz w:val="24"/>
          <w:szCs w:val="24"/>
          <w14:textFill>
            <w14:solidFill>
              <w14:schemeClr w14:val="tx1"/>
            </w14:solidFill>
          </w14:textFill>
        </w:rPr>
        <w:t>29</w:t>
      </w:r>
    </w:p>
    <w:p w14:paraId="4CBB8821">
      <w:pPr>
        <w:keepNext w:val="0"/>
        <w:keepLines w:val="0"/>
        <w:pageBreakBefore w:val="0"/>
        <w:widowControl w:val="0"/>
        <w:kinsoku/>
        <w:wordWrap/>
        <w:overflowPunct/>
        <w:topLinePunct w:val="0"/>
        <w:autoSpaceDE/>
        <w:autoSpaceDN/>
        <w:bidi w:val="0"/>
        <w:adjustRightInd/>
        <w:snapToGrid/>
        <w:spacing w:line="480" w:lineRule="exact"/>
        <w:ind w:firstLine="720" w:firstLineChars="300"/>
        <w:jc w:val="distribute"/>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（一）着力推进农业现代化</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29</w:t>
      </w:r>
    </w:p>
    <w:p w14:paraId="08E0DD28">
      <w:pPr>
        <w:keepNext w:val="0"/>
        <w:keepLines w:val="0"/>
        <w:pageBreakBefore w:val="0"/>
        <w:widowControl w:val="0"/>
        <w:kinsoku/>
        <w:wordWrap/>
        <w:overflowPunct/>
        <w:topLinePunct w:val="0"/>
        <w:autoSpaceDE/>
        <w:autoSpaceDN/>
        <w:bidi w:val="0"/>
        <w:adjustRightInd/>
        <w:snapToGrid/>
        <w:spacing w:line="480" w:lineRule="exact"/>
        <w:ind w:firstLine="720" w:firstLineChars="300"/>
        <w:jc w:val="distribute"/>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（二）着力推进制造业高端化</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31</w:t>
      </w:r>
    </w:p>
    <w:p w14:paraId="7CF8C6ED">
      <w:pPr>
        <w:keepNext w:val="0"/>
        <w:keepLines w:val="0"/>
        <w:pageBreakBefore w:val="0"/>
        <w:widowControl w:val="0"/>
        <w:kinsoku/>
        <w:wordWrap/>
        <w:overflowPunct/>
        <w:topLinePunct w:val="0"/>
        <w:autoSpaceDE/>
        <w:autoSpaceDN/>
        <w:bidi w:val="0"/>
        <w:adjustRightInd/>
        <w:snapToGrid/>
        <w:spacing w:line="480" w:lineRule="exact"/>
        <w:ind w:firstLine="720" w:firstLineChars="300"/>
        <w:jc w:val="distribute"/>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（三）着力推进现代服务业优质化</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35</w:t>
      </w:r>
    </w:p>
    <w:p w14:paraId="4415E972">
      <w:pPr>
        <w:keepNext w:val="0"/>
        <w:keepLines w:val="0"/>
        <w:pageBreakBefore w:val="0"/>
        <w:widowControl w:val="0"/>
        <w:kinsoku/>
        <w:wordWrap/>
        <w:overflowPunct/>
        <w:topLinePunct w:val="0"/>
        <w:autoSpaceDE/>
        <w:autoSpaceDN/>
        <w:bidi w:val="0"/>
        <w:adjustRightInd/>
        <w:snapToGrid/>
        <w:spacing w:line="480" w:lineRule="exact"/>
        <w:ind w:firstLine="720" w:firstLineChars="300"/>
        <w:jc w:val="distribute"/>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（四）着力提升对外开放水平</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38</w:t>
      </w:r>
    </w:p>
    <w:p w14:paraId="036242AE">
      <w:pPr>
        <w:keepNext w:val="0"/>
        <w:keepLines w:val="0"/>
        <w:pageBreakBefore w:val="0"/>
        <w:widowControl w:val="0"/>
        <w:kinsoku/>
        <w:wordWrap/>
        <w:overflowPunct/>
        <w:topLinePunct w:val="0"/>
        <w:autoSpaceDE/>
        <w:autoSpaceDN/>
        <w:bidi w:val="0"/>
        <w:adjustRightInd/>
        <w:snapToGrid/>
        <w:spacing w:line="480" w:lineRule="exact"/>
        <w:ind w:firstLine="720" w:firstLineChars="300"/>
        <w:jc w:val="distribute"/>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（五）着力加强产业载体建设</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38</w:t>
      </w:r>
    </w:p>
    <w:p w14:paraId="60B7A99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distribute"/>
        <w:textAlignment w:val="auto"/>
        <w:rPr>
          <w:rFonts w:hint="eastAsia" w:ascii="楷体_GB2312" w:hAnsi="楷体_GB2312" w:eastAsia="楷体_GB2312" w:cs="楷体_GB2312"/>
          <w:color w:val="000000" w:themeColor="text1"/>
          <w:sz w:val="24"/>
          <w:szCs w:val="24"/>
          <w14:textFill>
            <w14:solidFill>
              <w14:schemeClr w14:val="tx1"/>
            </w14:solidFill>
          </w14:textFill>
        </w:rPr>
      </w:pPr>
      <w:r>
        <w:rPr>
          <w:rFonts w:hint="eastAsia" w:ascii="楷体_GB2312" w:hAnsi="楷体_GB2312" w:eastAsia="楷体_GB2312" w:cs="楷体_GB2312"/>
          <w:color w:val="000000" w:themeColor="text1"/>
          <w:sz w:val="24"/>
          <w:szCs w:val="24"/>
          <w14:textFill>
            <w14:solidFill>
              <w14:schemeClr w14:val="tx1"/>
            </w14:solidFill>
          </w14:textFill>
        </w:rPr>
        <w:t>六、统筹城乡融合，拓展高质量赶超发展新空间</w:t>
      </w:r>
      <w:r>
        <w:rPr>
          <w:rFonts w:hint="eastAsia" w:ascii="楷体_GB2312" w:hAnsi="楷体_GB2312" w:eastAsia="楷体_GB2312" w:cs="楷体_GB2312"/>
          <w:color w:val="000000" w:themeColor="text1"/>
          <w:sz w:val="24"/>
          <w:szCs w:val="24"/>
          <w:lang w:val="en-US" w:eastAsia="zh-CN"/>
          <w14:textFill>
            <w14:solidFill>
              <w14:schemeClr w14:val="tx1"/>
            </w14:solidFill>
          </w14:textFill>
        </w:rPr>
        <w:t>…………………………………</w:t>
      </w:r>
      <w:r>
        <w:rPr>
          <w:rFonts w:hint="eastAsia" w:ascii="楷体_GB2312" w:hAnsi="楷体_GB2312" w:eastAsia="楷体_GB2312" w:cs="楷体_GB2312"/>
          <w:color w:val="000000" w:themeColor="text1"/>
          <w:sz w:val="24"/>
          <w:szCs w:val="24"/>
          <w14:textFill>
            <w14:solidFill>
              <w14:schemeClr w14:val="tx1"/>
            </w14:solidFill>
          </w14:textFill>
        </w:rPr>
        <w:t>39</w:t>
      </w:r>
    </w:p>
    <w:p w14:paraId="34CD6BB3">
      <w:pPr>
        <w:keepNext w:val="0"/>
        <w:keepLines w:val="0"/>
        <w:pageBreakBefore w:val="0"/>
        <w:widowControl w:val="0"/>
        <w:kinsoku/>
        <w:wordWrap/>
        <w:overflowPunct/>
        <w:topLinePunct w:val="0"/>
        <w:autoSpaceDE/>
        <w:autoSpaceDN/>
        <w:bidi w:val="0"/>
        <w:adjustRightInd/>
        <w:snapToGrid/>
        <w:spacing w:line="480" w:lineRule="exact"/>
        <w:ind w:firstLine="720" w:firstLineChars="300"/>
        <w:jc w:val="distribute"/>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（一）完善国土空间开发保护体系</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39</w:t>
      </w:r>
    </w:p>
    <w:p w14:paraId="7780AEF6">
      <w:pPr>
        <w:keepNext w:val="0"/>
        <w:keepLines w:val="0"/>
        <w:pageBreakBefore w:val="0"/>
        <w:widowControl w:val="0"/>
        <w:kinsoku/>
        <w:wordWrap/>
        <w:overflowPunct/>
        <w:topLinePunct w:val="0"/>
        <w:autoSpaceDE/>
        <w:autoSpaceDN/>
        <w:bidi w:val="0"/>
        <w:adjustRightInd/>
        <w:snapToGrid/>
        <w:spacing w:line="480" w:lineRule="exact"/>
        <w:ind w:firstLine="720" w:firstLineChars="300"/>
        <w:jc w:val="distribute"/>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（二）开展中心城市成长行动</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40</w:t>
      </w:r>
    </w:p>
    <w:p w14:paraId="7593D505">
      <w:pPr>
        <w:keepNext w:val="0"/>
        <w:keepLines w:val="0"/>
        <w:pageBreakBefore w:val="0"/>
        <w:widowControl w:val="0"/>
        <w:kinsoku/>
        <w:wordWrap/>
        <w:overflowPunct/>
        <w:topLinePunct w:val="0"/>
        <w:autoSpaceDE/>
        <w:autoSpaceDN/>
        <w:bidi w:val="0"/>
        <w:adjustRightInd/>
        <w:snapToGrid/>
        <w:spacing w:line="480" w:lineRule="exact"/>
        <w:ind w:firstLine="720" w:firstLineChars="300"/>
        <w:jc w:val="distribute"/>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（三）推进以人为核心的新型城镇化</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42</w:t>
      </w:r>
    </w:p>
    <w:p w14:paraId="082B58DD">
      <w:pPr>
        <w:keepNext w:val="0"/>
        <w:keepLines w:val="0"/>
        <w:pageBreakBefore w:val="0"/>
        <w:widowControl w:val="0"/>
        <w:kinsoku/>
        <w:wordWrap/>
        <w:overflowPunct/>
        <w:topLinePunct w:val="0"/>
        <w:autoSpaceDE/>
        <w:autoSpaceDN/>
        <w:bidi w:val="0"/>
        <w:adjustRightInd/>
        <w:snapToGrid/>
        <w:spacing w:line="480" w:lineRule="exact"/>
        <w:ind w:firstLine="720" w:firstLineChars="300"/>
        <w:jc w:val="distribute"/>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（四）实施美丽乡村建设行动</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43</w:t>
      </w:r>
    </w:p>
    <w:p w14:paraId="5CBC842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distribute"/>
        <w:textAlignment w:val="auto"/>
        <w:rPr>
          <w:rFonts w:hint="eastAsia" w:ascii="楷体_GB2312" w:hAnsi="楷体_GB2312" w:eastAsia="楷体_GB2312" w:cs="楷体_GB2312"/>
          <w:color w:val="000000" w:themeColor="text1"/>
          <w:sz w:val="24"/>
          <w:szCs w:val="24"/>
          <w14:textFill>
            <w14:solidFill>
              <w14:schemeClr w14:val="tx1"/>
            </w14:solidFill>
          </w14:textFill>
        </w:rPr>
      </w:pPr>
      <w:r>
        <w:rPr>
          <w:rFonts w:hint="eastAsia" w:ascii="楷体_GB2312" w:hAnsi="楷体_GB2312" w:eastAsia="楷体_GB2312" w:cs="楷体_GB2312"/>
          <w:color w:val="000000" w:themeColor="text1"/>
          <w:sz w:val="24"/>
          <w:szCs w:val="24"/>
          <w14:textFill>
            <w14:solidFill>
              <w14:schemeClr w14:val="tx1"/>
            </w14:solidFill>
          </w14:textFill>
        </w:rPr>
        <w:t>七、聚焦绿色生态，绘就高质量赶超发展靓丽色彩</w:t>
      </w:r>
      <w:r>
        <w:rPr>
          <w:rFonts w:hint="eastAsia" w:ascii="楷体_GB2312" w:hAnsi="楷体_GB2312" w:eastAsia="楷体_GB2312" w:cs="楷体_GB2312"/>
          <w:color w:val="000000" w:themeColor="text1"/>
          <w:sz w:val="24"/>
          <w:szCs w:val="24"/>
          <w:lang w:val="en-US" w:eastAsia="zh-CN"/>
          <w14:textFill>
            <w14:solidFill>
              <w14:schemeClr w14:val="tx1"/>
            </w14:solidFill>
          </w14:textFill>
        </w:rPr>
        <w:t>………………………………</w:t>
      </w:r>
      <w:r>
        <w:rPr>
          <w:rFonts w:hint="eastAsia" w:ascii="楷体_GB2312" w:hAnsi="楷体_GB2312" w:eastAsia="楷体_GB2312" w:cs="楷体_GB2312"/>
          <w:color w:val="000000" w:themeColor="text1"/>
          <w:sz w:val="24"/>
          <w:szCs w:val="24"/>
          <w14:textFill>
            <w14:solidFill>
              <w14:schemeClr w14:val="tx1"/>
            </w14:solidFill>
          </w14:textFill>
        </w:rPr>
        <w:t>45</w:t>
      </w:r>
    </w:p>
    <w:p w14:paraId="4F31D998">
      <w:pPr>
        <w:keepNext w:val="0"/>
        <w:keepLines w:val="0"/>
        <w:pageBreakBefore w:val="0"/>
        <w:widowControl w:val="0"/>
        <w:kinsoku/>
        <w:wordWrap/>
        <w:overflowPunct/>
        <w:topLinePunct w:val="0"/>
        <w:autoSpaceDE/>
        <w:autoSpaceDN/>
        <w:bidi w:val="0"/>
        <w:adjustRightInd/>
        <w:snapToGrid/>
        <w:spacing w:line="480" w:lineRule="exact"/>
        <w:ind w:firstLine="720" w:firstLineChars="300"/>
        <w:jc w:val="distribute"/>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（一）打好环境污染防治攻坚战</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45</w:t>
      </w:r>
    </w:p>
    <w:p w14:paraId="6C9E7406">
      <w:pPr>
        <w:keepNext w:val="0"/>
        <w:keepLines w:val="0"/>
        <w:pageBreakBefore w:val="0"/>
        <w:widowControl w:val="0"/>
        <w:kinsoku/>
        <w:wordWrap/>
        <w:overflowPunct/>
        <w:topLinePunct w:val="0"/>
        <w:autoSpaceDE/>
        <w:autoSpaceDN/>
        <w:bidi w:val="0"/>
        <w:adjustRightInd/>
        <w:snapToGrid/>
        <w:spacing w:line="480" w:lineRule="exact"/>
        <w:ind w:firstLine="720" w:firstLineChars="300"/>
        <w:jc w:val="distribute"/>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（二）筑牢美丽清河生态底色</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46</w:t>
      </w:r>
    </w:p>
    <w:p w14:paraId="77A95CF1">
      <w:pPr>
        <w:keepNext w:val="0"/>
        <w:keepLines w:val="0"/>
        <w:pageBreakBefore w:val="0"/>
        <w:widowControl w:val="0"/>
        <w:kinsoku/>
        <w:wordWrap/>
        <w:overflowPunct/>
        <w:topLinePunct w:val="0"/>
        <w:autoSpaceDE/>
        <w:autoSpaceDN/>
        <w:bidi w:val="0"/>
        <w:adjustRightInd/>
        <w:snapToGrid/>
        <w:spacing w:line="480" w:lineRule="exact"/>
        <w:ind w:firstLine="720" w:firstLineChars="300"/>
        <w:jc w:val="distribute"/>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（三）推动生产生活绿色循环低碳发展</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46</w:t>
      </w:r>
    </w:p>
    <w:p w14:paraId="423CAA9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distribute"/>
        <w:textAlignment w:val="auto"/>
        <w:rPr>
          <w:rFonts w:hint="eastAsia" w:ascii="楷体_GB2312" w:hAnsi="楷体_GB2312" w:eastAsia="楷体_GB2312" w:cs="楷体_GB2312"/>
          <w:color w:val="000000" w:themeColor="text1"/>
          <w:sz w:val="24"/>
          <w:szCs w:val="24"/>
          <w14:textFill>
            <w14:solidFill>
              <w14:schemeClr w14:val="tx1"/>
            </w14:solidFill>
          </w14:textFill>
        </w:rPr>
      </w:pPr>
      <w:r>
        <w:rPr>
          <w:rFonts w:hint="eastAsia" w:ascii="楷体_GB2312" w:hAnsi="楷体_GB2312" w:eastAsia="楷体_GB2312" w:cs="楷体_GB2312"/>
          <w:color w:val="000000" w:themeColor="text1"/>
          <w:sz w:val="24"/>
          <w:szCs w:val="24"/>
          <w14:textFill>
            <w14:solidFill>
              <w14:schemeClr w14:val="tx1"/>
            </w14:solidFill>
          </w14:textFill>
        </w:rPr>
        <w:t>八、聚焦民生改善，释放高质量赶超发展新红利</w:t>
      </w:r>
      <w:r>
        <w:rPr>
          <w:rFonts w:hint="eastAsia" w:ascii="楷体_GB2312" w:hAnsi="楷体_GB2312" w:eastAsia="楷体_GB2312" w:cs="楷体_GB2312"/>
          <w:color w:val="000000" w:themeColor="text1"/>
          <w:sz w:val="24"/>
          <w:szCs w:val="24"/>
          <w:lang w:val="en-US" w:eastAsia="zh-CN"/>
          <w14:textFill>
            <w14:solidFill>
              <w14:schemeClr w14:val="tx1"/>
            </w14:solidFill>
          </w14:textFill>
        </w:rPr>
        <w:t>…………………………………</w:t>
      </w:r>
      <w:r>
        <w:rPr>
          <w:rFonts w:hint="eastAsia" w:ascii="楷体_GB2312" w:hAnsi="楷体_GB2312" w:eastAsia="楷体_GB2312" w:cs="楷体_GB2312"/>
          <w:color w:val="000000" w:themeColor="text1"/>
          <w:sz w:val="24"/>
          <w:szCs w:val="24"/>
          <w14:textFill>
            <w14:solidFill>
              <w14:schemeClr w14:val="tx1"/>
            </w14:solidFill>
          </w14:textFill>
        </w:rPr>
        <w:t>47</w:t>
      </w:r>
    </w:p>
    <w:p w14:paraId="6539FA82">
      <w:pPr>
        <w:keepNext w:val="0"/>
        <w:keepLines w:val="0"/>
        <w:pageBreakBefore w:val="0"/>
        <w:widowControl w:val="0"/>
        <w:kinsoku/>
        <w:wordWrap/>
        <w:overflowPunct/>
        <w:topLinePunct w:val="0"/>
        <w:autoSpaceDE/>
        <w:autoSpaceDN/>
        <w:bidi w:val="0"/>
        <w:adjustRightInd/>
        <w:snapToGrid/>
        <w:spacing w:line="480" w:lineRule="exact"/>
        <w:ind w:firstLine="720" w:firstLineChars="300"/>
        <w:jc w:val="distribute"/>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（一）巩固拓展脱贫攻坚成果</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47</w:t>
      </w:r>
    </w:p>
    <w:p w14:paraId="5887BD2F">
      <w:pPr>
        <w:keepNext w:val="0"/>
        <w:keepLines w:val="0"/>
        <w:pageBreakBefore w:val="0"/>
        <w:widowControl w:val="0"/>
        <w:kinsoku/>
        <w:wordWrap/>
        <w:overflowPunct/>
        <w:topLinePunct w:val="0"/>
        <w:autoSpaceDE/>
        <w:autoSpaceDN/>
        <w:bidi w:val="0"/>
        <w:adjustRightInd/>
        <w:snapToGrid/>
        <w:spacing w:line="480" w:lineRule="exact"/>
        <w:ind w:firstLine="720" w:firstLineChars="300"/>
        <w:jc w:val="distribute"/>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（二）实施就业优先政策</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48</w:t>
      </w:r>
    </w:p>
    <w:p w14:paraId="54DF8034">
      <w:pPr>
        <w:keepNext w:val="0"/>
        <w:keepLines w:val="0"/>
        <w:pageBreakBefore w:val="0"/>
        <w:widowControl w:val="0"/>
        <w:kinsoku/>
        <w:wordWrap/>
        <w:overflowPunct/>
        <w:topLinePunct w:val="0"/>
        <w:autoSpaceDE/>
        <w:autoSpaceDN/>
        <w:bidi w:val="0"/>
        <w:adjustRightInd/>
        <w:snapToGrid/>
        <w:spacing w:line="480" w:lineRule="exact"/>
        <w:ind w:firstLine="720" w:firstLineChars="300"/>
        <w:jc w:val="distribute"/>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（三）开展全民增收行动</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48</w:t>
      </w:r>
    </w:p>
    <w:p w14:paraId="314246BC">
      <w:pPr>
        <w:keepNext w:val="0"/>
        <w:keepLines w:val="0"/>
        <w:pageBreakBefore w:val="0"/>
        <w:widowControl w:val="0"/>
        <w:kinsoku/>
        <w:wordWrap/>
        <w:overflowPunct/>
        <w:topLinePunct w:val="0"/>
        <w:autoSpaceDE/>
        <w:autoSpaceDN/>
        <w:bidi w:val="0"/>
        <w:adjustRightInd/>
        <w:snapToGrid/>
        <w:spacing w:line="480" w:lineRule="exact"/>
        <w:ind w:firstLine="720" w:firstLineChars="300"/>
        <w:jc w:val="distribute"/>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（四）完善社会保障体系</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49</w:t>
      </w:r>
    </w:p>
    <w:p w14:paraId="64F1D646">
      <w:pPr>
        <w:keepNext w:val="0"/>
        <w:keepLines w:val="0"/>
        <w:pageBreakBefore w:val="0"/>
        <w:widowControl w:val="0"/>
        <w:kinsoku/>
        <w:wordWrap/>
        <w:overflowPunct/>
        <w:topLinePunct w:val="0"/>
        <w:autoSpaceDE/>
        <w:autoSpaceDN/>
        <w:bidi w:val="0"/>
        <w:adjustRightInd/>
        <w:snapToGrid/>
        <w:spacing w:line="480" w:lineRule="exact"/>
        <w:ind w:firstLine="720" w:firstLineChars="300"/>
        <w:jc w:val="distribute"/>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（五）办好人民满意教育</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50</w:t>
      </w:r>
    </w:p>
    <w:p w14:paraId="05B9535F">
      <w:pPr>
        <w:keepNext w:val="0"/>
        <w:keepLines w:val="0"/>
        <w:pageBreakBefore w:val="0"/>
        <w:widowControl w:val="0"/>
        <w:kinsoku/>
        <w:wordWrap/>
        <w:overflowPunct/>
        <w:topLinePunct w:val="0"/>
        <w:autoSpaceDE/>
        <w:autoSpaceDN/>
        <w:bidi w:val="0"/>
        <w:adjustRightInd/>
        <w:snapToGrid/>
        <w:spacing w:line="480" w:lineRule="exact"/>
        <w:ind w:firstLine="720" w:firstLineChars="300"/>
        <w:jc w:val="distribute"/>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（六）持续繁荣文化事业</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53</w:t>
      </w:r>
    </w:p>
    <w:p w14:paraId="5FD3D79C">
      <w:pPr>
        <w:keepNext w:val="0"/>
        <w:keepLines w:val="0"/>
        <w:pageBreakBefore w:val="0"/>
        <w:widowControl w:val="0"/>
        <w:kinsoku/>
        <w:wordWrap/>
        <w:overflowPunct/>
        <w:topLinePunct w:val="0"/>
        <w:autoSpaceDE/>
        <w:autoSpaceDN/>
        <w:bidi w:val="0"/>
        <w:adjustRightInd/>
        <w:snapToGrid/>
        <w:spacing w:line="480" w:lineRule="exact"/>
        <w:ind w:firstLine="720" w:firstLineChars="300"/>
        <w:jc w:val="distribute"/>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（七）加快健康清河建设</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53</w:t>
      </w:r>
    </w:p>
    <w:p w14:paraId="41D0A649">
      <w:pPr>
        <w:keepNext w:val="0"/>
        <w:keepLines w:val="0"/>
        <w:pageBreakBefore w:val="0"/>
        <w:widowControl w:val="0"/>
        <w:kinsoku/>
        <w:wordWrap/>
        <w:overflowPunct/>
        <w:topLinePunct w:val="0"/>
        <w:autoSpaceDE/>
        <w:autoSpaceDN/>
        <w:bidi w:val="0"/>
        <w:adjustRightInd/>
        <w:snapToGrid/>
        <w:spacing w:line="480" w:lineRule="exact"/>
        <w:ind w:firstLine="720" w:firstLineChars="300"/>
        <w:jc w:val="distribute"/>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（八）提升“一老一小”保障能力</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56</w:t>
      </w:r>
    </w:p>
    <w:p w14:paraId="743C940F">
      <w:pPr>
        <w:keepNext w:val="0"/>
        <w:keepLines w:val="0"/>
        <w:pageBreakBefore w:val="0"/>
        <w:widowControl w:val="0"/>
        <w:kinsoku/>
        <w:wordWrap/>
        <w:overflowPunct/>
        <w:topLinePunct w:val="0"/>
        <w:autoSpaceDE/>
        <w:autoSpaceDN/>
        <w:bidi w:val="0"/>
        <w:adjustRightInd/>
        <w:snapToGrid/>
        <w:spacing w:line="480" w:lineRule="exact"/>
        <w:ind w:firstLine="720" w:firstLineChars="300"/>
        <w:jc w:val="distribute"/>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（九）统筹其它各项事业发展</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57</w:t>
      </w:r>
    </w:p>
    <w:p w14:paraId="4AE02E97">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distribute"/>
        <w:textAlignment w:val="auto"/>
        <w:rPr>
          <w:rFonts w:hint="eastAsia" w:ascii="黑体" w:hAnsi="黑体" w:eastAsia="黑体"/>
          <w:color w:val="000000" w:themeColor="text1"/>
          <w:sz w:val="24"/>
          <w:szCs w:val="24"/>
          <w14:textFill>
            <w14:solidFill>
              <w14:schemeClr w14:val="tx1"/>
            </w14:solidFill>
          </w14:textFill>
        </w:rPr>
      </w:pPr>
      <w:r>
        <w:rPr>
          <w:rFonts w:hint="eastAsia" w:ascii="楷体_GB2312" w:hAnsi="楷体_GB2312" w:eastAsia="楷体_GB2312" w:cs="楷体_GB2312"/>
          <w:color w:val="000000" w:themeColor="text1"/>
          <w:sz w:val="24"/>
          <w:szCs w:val="24"/>
          <w14:textFill>
            <w14:solidFill>
              <w14:schemeClr w14:val="tx1"/>
            </w14:solidFill>
          </w14:textFill>
        </w:rPr>
        <w:t>九、强化社会治理，筑牢高质量赶超发展护城河</w:t>
      </w:r>
      <w:r>
        <w:rPr>
          <w:rFonts w:hint="eastAsia" w:ascii="楷体_GB2312" w:hAnsi="楷体_GB2312" w:eastAsia="楷体_GB2312" w:cs="楷体_GB2312"/>
          <w:color w:val="000000" w:themeColor="text1"/>
          <w:sz w:val="24"/>
          <w:szCs w:val="24"/>
          <w:lang w:val="en-US" w:eastAsia="zh-CN"/>
          <w14:textFill>
            <w14:solidFill>
              <w14:schemeClr w14:val="tx1"/>
            </w14:solidFill>
          </w14:textFill>
        </w:rPr>
        <w:t>…………………………………</w:t>
      </w:r>
      <w:r>
        <w:rPr>
          <w:rFonts w:hint="eastAsia" w:ascii="楷体_GB2312" w:hAnsi="楷体_GB2312" w:eastAsia="楷体_GB2312" w:cs="楷体_GB2312"/>
          <w:color w:val="000000" w:themeColor="text1"/>
          <w:sz w:val="24"/>
          <w:szCs w:val="24"/>
          <w14:textFill>
            <w14:solidFill>
              <w14:schemeClr w14:val="tx1"/>
            </w14:solidFill>
          </w14:textFill>
        </w:rPr>
        <w:t>57</w:t>
      </w:r>
    </w:p>
    <w:p w14:paraId="62C24F8C">
      <w:pPr>
        <w:keepNext w:val="0"/>
        <w:keepLines w:val="0"/>
        <w:pageBreakBefore w:val="0"/>
        <w:widowControl w:val="0"/>
        <w:kinsoku/>
        <w:wordWrap/>
        <w:overflowPunct/>
        <w:topLinePunct w:val="0"/>
        <w:autoSpaceDE/>
        <w:autoSpaceDN/>
        <w:bidi w:val="0"/>
        <w:adjustRightInd/>
        <w:snapToGrid/>
        <w:spacing w:line="480" w:lineRule="exact"/>
        <w:ind w:firstLine="720" w:firstLineChars="300"/>
        <w:jc w:val="distribute"/>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（一）坚持总体国家安全观</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57</w:t>
      </w:r>
    </w:p>
    <w:p w14:paraId="3F3A9332">
      <w:pPr>
        <w:keepNext w:val="0"/>
        <w:keepLines w:val="0"/>
        <w:pageBreakBefore w:val="0"/>
        <w:widowControl w:val="0"/>
        <w:kinsoku/>
        <w:wordWrap/>
        <w:overflowPunct/>
        <w:topLinePunct w:val="0"/>
        <w:autoSpaceDE/>
        <w:autoSpaceDN/>
        <w:bidi w:val="0"/>
        <w:adjustRightInd/>
        <w:snapToGrid/>
        <w:spacing w:line="480" w:lineRule="exact"/>
        <w:ind w:firstLine="720" w:firstLineChars="300"/>
        <w:jc w:val="distribute"/>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（二）推进法治清河建设</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58</w:t>
      </w:r>
    </w:p>
    <w:p w14:paraId="6CD3DE5E">
      <w:pPr>
        <w:keepNext w:val="0"/>
        <w:keepLines w:val="0"/>
        <w:pageBreakBefore w:val="0"/>
        <w:widowControl w:val="0"/>
        <w:kinsoku/>
        <w:wordWrap/>
        <w:overflowPunct/>
        <w:topLinePunct w:val="0"/>
        <w:autoSpaceDE/>
        <w:autoSpaceDN/>
        <w:bidi w:val="0"/>
        <w:adjustRightInd/>
        <w:snapToGrid/>
        <w:spacing w:line="480" w:lineRule="exact"/>
        <w:ind w:firstLine="720" w:firstLineChars="300"/>
        <w:jc w:val="distribute"/>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（三）加强政府自身建设</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58</w:t>
      </w:r>
    </w:p>
    <w:p w14:paraId="7C875573">
      <w:pPr>
        <w:keepNext w:val="0"/>
        <w:keepLines w:val="0"/>
        <w:pageBreakBefore w:val="0"/>
        <w:widowControl w:val="0"/>
        <w:kinsoku/>
        <w:wordWrap/>
        <w:overflowPunct/>
        <w:topLinePunct w:val="0"/>
        <w:autoSpaceDE/>
        <w:autoSpaceDN/>
        <w:bidi w:val="0"/>
        <w:adjustRightInd/>
        <w:snapToGrid/>
        <w:spacing w:line="480" w:lineRule="exact"/>
        <w:ind w:firstLine="720" w:firstLineChars="300"/>
        <w:jc w:val="distribute"/>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（四）加快社会治理现代化</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59</w:t>
      </w:r>
    </w:p>
    <w:p w14:paraId="2140DBAF">
      <w:pPr>
        <w:keepNext w:val="0"/>
        <w:keepLines w:val="0"/>
        <w:pageBreakBefore w:val="0"/>
        <w:widowControl w:val="0"/>
        <w:kinsoku/>
        <w:wordWrap/>
        <w:overflowPunct/>
        <w:topLinePunct w:val="0"/>
        <w:autoSpaceDE/>
        <w:autoSpaceDN/>
        <w:bidi w:val="0"/>
        <w:adjustRightInd/>
        <w:snapToGrid/>
        <w:spacing w:line="480" w:lineRule="exact"/>
        <w:ind w:firstLine="720" w:firstLineChars="300"/>
        <w:jc w:val="distribute"/>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（五）维护社会稳定</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59</w:t>
      </w:r>
    </w:p>
    <w:p w14:paraId="26B60385">
      <w:pPr>
        <w:keepNext w:val="0"/>
        <w:keepLines w:val="0"/>
        <w:pageBreakBefore w:val="0"/>
        <w:widowControl w:val="0"/>
        <w:kinsoku/>
        <w:wordWrap/>
        <w:overflowPunct/>
        <w:topLinePunct w:val="0"/>
        <w:autoSpaceDE/>
        <w:autoSpaceDN/>
        <w:bidi w:val="0"/>
        <w:adjustRightInd/>
        <w:snapToGrid/>
        <w:spacing w:line="480" w:lineRule="exact"/>
        <w:ind w:firstLine="720" w:firstLineChars="300"/>
        <w:jc w:val="distribute"/>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（六）保障人民安全</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60</w:t>
      </w:r>
    </w:p>
    <w:p w14:paraId="4541C679">
      <w:pPr>
        <w:keepNext w:val="0"/>
        <w:keepLines w:val="0"/>
        <w:pageBreakBefore w:val="0"/>
        <w:widowControl w:val="0"/>
        <w:kinsoku/>
        <w:wordWrap/>
        <w:overflowPunct/>
        <w:topLinePunct w:val="0"/>
        <w:autoSpaceDE/>
        <w:autoSpaceDN/>
        <w:bidi w:val="0"/>
        <w:adjustRightInd/>
        <w:snapToGrid/>
        <w:spacing w:line="480" w:lineRule="exact"/>
        <w:ind w:firstLine="240" w:firstLineChars="100"/>
        <w:jc w:val="distribute"/>
        <w:textAlignment w:val="auto"/>
        <w:rPr>
          <w:rFonts w:hint="eastAsia" w:ascii="黑体" w:hAnsi="黑体" w:eastAsia="黑体"/>
          <w:color w:val="000000" w:themeColor="text1"/>
          <w:sz w:val="24"/>
          <w:szCs w:val="24"/>
          <w:lang w:eastAsia="zh-CN"/>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第六章  “十四五”时期规划落实的保障措施</w:t>
      </w:r>
      <w:r>
        <w:rPr>
          <w:rFonts w:hint="eastAsia" w:ascii="黑体" w:hAnsi="黑体" w:eastAsia="黑体"/>
          <w:color w:val="000000" w:themeColor="text1"/>
          <w:sz w:val="24"/>
          <w:szCs w:val="24"/>
          <w:lang w:val="en-US" w:eastAsia="zh-CN"/>
          <w14:textFill>
            <w14:solidFill>
              <w14:schemeClr w14:val="tx1"/>
            </w14:solidFill>
          </w14:textFill>
        </w:rPr>
        <w:t>………………………………………</w:t>
      </w:r>
      <w:r>
        <w:rPr>
          <w:rFonts w:hint="eastAsia" w:ascii="黑体" w:hAnsi="黑体" w:eastAsia="黑体"/>
          <w:color w:val="000000" w:themeColor="text1"/>
          <w:sz w:val="24"/>
          <w:szCs w:val="24"/>
          <w14:textFill>
            <w14:solidFill>
              <w14:schemeClr w14:val="tx1"/>
            </w14:solidFill>
          </w14:textFill>
        </w:rPr>
        <w:t>6</w:t>
      </w:r>
      <w:r>
        <w:rPr>
          <w:rFonts w:hint="eastAsia" w:ascii="黑体" w:hAnsi="黑体" w:eastAsia="黑体"/>
          <w:color w:val="000000" w:themeColor="text1"/>
          <w:sz w:val="24"/>
          <w:szCs w:val="24"/>
          <w:lang w:val="en-US" w:eastAsia="zh-CN"/>
          <w14:textFill>
            <w14:solidFill>
              <w14:schemeClr w14:val="tx1"/>
            </w14:solidFill>
          </w14:textFill>
        </w:rPr>
        <w:t>1</w:t>
      </w:r>
    </w:p>
    <w:p w14:paraId="5A52C0F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distribute"/>
        <w:textAlignment w:val="auto"/>
        <w:rPr>
          <w:rFonts w:hint="eastAsia" w:ascii="楷体_GB2312" w:hAnsi="楷体_GB2312" w:eastAsia="楷体_GB2312" w:cs="楷体_GB2312"/>
          <w:color w:val="000000" w:themeColor="text1"/>
          <w:sz w:val="24"/>
          <w:szCs w:val="24"/>
          <w:lang w:eastAsia="zh-CN"/>
          <w14:textFill>
            <w14:solidFill>
              <w14:schemeClr w14:val="tx1"/>
            </w14:solidFill>
          </w14:textFill>
        </w:rPr>
      </w:pPr>
      <w:r>
        <w:rPr>
          <w:rFonts w:hint="eastAsia" w:ascii="楷体_GB2312" w:hAnsi="楷体_GB2312" w:eastAsia="楷体_GB2312" w:cs="楷体_GB2312"/>
          <w:color w:val="000000" w:themeColor="text1"/>
          <w:sz w:val="24"/>
          <w:szCs w:val="24"/>
          <w14:textFill>
            <w14:solidFill>
              <w14:schemeClr w14:val="tx1"/>
            </w14:solidFill>
          </w14:textFill>
        </w:rPr>
        <w:t>一、明确责任主体推进机制</w:t>
      </w:r>
      <w:r>
        <w:rPr>
          <w:rFonts w:hint="eastAsia" w:ascii="楷体_GB2312" w:hAnsi="楷体_GB2312" w:eastAsia="楷体_GB2312" w:cs="楷体_GB2312"/>
          <w:color w:val="000000" w:themeColor="text1"/>
          <w:sz w:val="24"/>
          <w:szCs w:val="24"/>
          <w:lang w:val="en-US" w:eastAsia="zh-CN"/>
          <w14:textFill>
            <w14:solidFill>
              <w14:schemeClr w14:val="tx1"/>
            </w14:solidFill>
          </w14:textFill>
        </w:rPr>
        <w:t>…………………………………………………………</w:t>
      </w:r>
      <w:r>
        <w:rPr>
          <w:rFonts w:hint="eastAsia" w:ascii="楷体_GB2312" w:hAnsi="楷体_GB2312" w:eastAsia="楷体_GB2312" w:cs="楷体_GB2312"/>
          <w:color w:val="000000" w:themeColor="text1"/>
          <w:sz w:val="24"/>
          <w:szCs w:val="24"/>
          <w14:textFill>
            <w14:solidFill>
              <w14:schemeClr w14:val="tx1"/>
            </w14:solidFill>
          </w14:textFill>
        </w:rPr>
        <w:t>6</w:t>
      </w:r>
      <w:r>
        <w:rPr>
          <w:rFonts w:hint="eastAsia" w:ascii="楷体_GB2312" w:hAnsi="楷体_GB2312" w:eastAsia="楷体_GB2312" w:cs="楷体_GB2312"/>
          <w:color w:val="000000" w:themeColor="text1"/>
          <w:sz w:val="24"/>
          <w:szCs w:val="24"/>
          <w:lang w:val="en-US" w:eastAsia="zh-CN"/>
          <w14:textFill>
            <w14:solidFill>
              <w14:schemeClr w14:val="tx1"/>
            </w14:solidFill>
          </w14:textFill>
        </w:rPr>
        <w:t>1</w:t>
      </w:r>
    </w:p>
    <w:p w14:paraId="5A066AA5">
      <w:pPr>
        <w:keepNext w:val="0"/>
        <w:keepLines w:val="0"/>
        <w:pageBreakBefore w:val="0"/>
        <w:widowControl w:val="0"/>
        <w:kinsoku/>
        <w:wordWrap/>
        <w:overflowPunct/>
        <w:topLinePunct w:val="0"/>
        <w:autoSpaceDE/>
        <w:autoSpaceDN/>
        <w:bidi w:val="0"/>
        <w:adjustRightInd/>
        <w:snapToGrid/>
        <w:spacing w:line="480" w:lineRule="exact"/>
        <w:ind w:firstLine="720" w:firstLineChars="300"/>
        <w:jc w:val="distribute"/>
        <w:textAlignment w:val="auto"/>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（一）明确目标任务分工</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6</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w:t>
      </w:r>
    </w:p>
    <w:p w14:paraId="413E30F6">
      <w:pPr>
        <w:keepNext w:val="0"/>
        <w:keepLines w:val="0"/>
        <w:pageBreakBefore w:val="0"/>
        <w:widowControl w:val="0"/>
        <w:kinsoku/>
        <w:wordWrap/>
        <w:overflowPunct/>
        <w:topLinePunct w:val="0"/>
        <w:autoSpaceDE/>
        <w:autoSpaceDN/>
        <w:bidi w:val="0"/>
        <w:adjustRightInd/>
        <w:snapToGrid/>
        <w:spacing w:line="480" w:lineRule="exact"/>
        <w:ind w:firstLine="720" w:firstLineChars="300"/>
        <w:jc w:val="distribute"/>
        <w:textAlignment w:val="auto"/>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（二）建立责任推进机制</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6</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w:t>
      </w:r>
    </w:p>
    <w:p w14:paraId="03BB2DED">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distribute"/>
        <w:textAlignment w:val="auto"/>
        <w:rPr>
          <w:rFonts w:hint="eastAsia" w:ascii="楷体_GB2312" w:hAnsi="楷体_GB2312" w:eastAsia="楷体_GB2312" w:cs="楷体_GB2312"/>
          <w:color w:val="000000" w:themeColor="text1"/>
          <w:sz w:val="24"/>
          <w:szCs w:val="24"/>
          <w:lang w:eastAsia="zh-CN"/>
          <w14:textFill>
            <w14:solidFill>
              <w14:schemeClr w14:val="tx1"/>
            </w14:solidFill>
          </w14:textFill>
        </w:rPr>
      </w:pPr>
      <w:r>
        <w:rPr>
          <w:rFonts w:hint="eastAsia" w:ascii="楷体_GB2312" w:hAnsi="楷体_GB2312" w:eastAsia="楷体_GB2312" w:cs="楷体_GB2312"/>
          <w:color w:val="000000" w:themeColor="text1"/>
          <w:sz w:val="24"/>
          <w:szCs w:val="24"/>
          <w14:textFill>
            <w14:solidFill>
              <w14:schemeClr w14:val="tx1"/>
            </w14:solidFill>
          </w14:textFill>
        </w:rPr>
        <w:t>二、健全相互衔接的规划体系</w:t>
      </w:r>
      <w:r>
        <w:rPr>
          <w:rFonts w:hint="eastAsia" w:ascii="楷体_GB2312" w:hAnsi="楷体_GB2312" w:eastAsia="楷体_GB2312" w:cs="楷体_GB2312"/>
          <w:color w:val="000000" w:themeColor="text1"/>
          <w:sz w:val="24"/>
          <w:szCs w:val="24"/>
          <w:lang w:val="en-US" w:eastAsia="zh-CN"/>
          <w14:textFill>
            <w14:solidFill>
              <w14:schemeClr w14:val="tx1"/>
            </w14:solidFill>
          </w14:textFill>
        </w:rPr>
        <w:t>………………………………………………………</w:t>
      </w:r>
      <w:r>
        <w:rPr>
          <w:rFonts w:hint="eastAsia" w:ascii="楷体_GB2312" w:hAnsi="楷体_GB2312" w:eastAsia="楷体_GB2312" w:cs="楷体_GB2312"/>
          <w:color w:val="000000" w:themeColor="text1"/>
          <w:sz w:val="24"/>
          <w:szCs w:val="24"/>
          <w14:textFill>
            <w14:solidFill>
              <w14:schemeClr w14:val="tx1"/>
            </w14:solidFill>
          </w14:textFill>
        </w:rPr>
        <w:t>6</w:t>
      </w:r>
      <w:r>
        <w:rPr>
          <w:rFonts w:hint="eastAsia" w:ascii="楷体_GB2312" w:hAnsi="楷体_GB2312" w:eastAsia="楷体_GB2312" w:cs="楷体_GB2312"/>
          <w:color w:val="000000" w:themeColor="text1"/>
          <w:sz w:val="24"/>
          <w:szCs w:val="24"/>
          <w:lang w:val="en-US" w:eastAsia="zh-CN"/>
          <w14:textFill>
            <w14:solidFill>
              <w14:schemeClr w14:val="tx1"/>
            </w14:solidFill>
          </w14:textFill>
        </w:rPr>
        <w:t>1</w:t>
      </w:r>
    </w:p>
    <w:p w14:paraId="5BC8626B">
      <w:pPr>
        <w:keepNext w:val="0"/>
        <w:keepLines w:val="0"/>
        <w:pageBreakBefore w:val="0"/>
        <w:widowControl w:val="0"/>
        <w:kinsoku/>
        <w:wordWrap/>
        <w:overflowPunct/>
        <w:topLinePunct w:val="0"/>
        <w:autoSpaceDE/>
        <w:autoSpaceDN/>
        <w:bidi w:val="0"/>
        <w:adjustRightInd/>
        <w:snapToGrid/>
        <w:spacing w:line="480" w:lineRule="exact"/>
        <w:ind w:firstLine="720" w:firstLineChars="300"/>
        <w:jc w:val="distribute"/>
        <w:textAlignment w:val="auto"/>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（一）健全规划体系</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6</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w:t>
      </w:r>
    </w:p>
    <w:p w14:paraId="52011332">
      <w:pPr>
        <w:keepNext w:val="0"/>
        <w:keepLines w:val="0"/>
        <w:pageBreakBefore w:val="0"/>
        <w:widowControl w:val="0"/>
        <w:kinsoku/>
        <w:wordWrap/>
        <w:overflowPunct/>
        <w:topLinePunct w:val="0"/>
        <w:autoSpaceDE/>
        <w:autoSpaceDN/>
        <w:bidi w:val="0"/>
        <w:adjustRightInd/>
        <w:snapToGrid/>
        <w:spacing w:line="480" w:lineRule="exact"/>
        <w:ind w:firstLine="720" w:firstLineChars="300"/>
        <w:jc w:val="distribute"/>
        <w:textAlignment w:val="auto"/>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（二）</w:t>
      </w:r>
      <w:r>
        <w:rPr>
          <w:rFonts w:hint="eastAsia" w:ascii="仿宋_GB2312" w:hAnsi="仿宋_GB2312" w:eastAsia="仿宋_GB2312" w:cs="仿宋_GB2312"/>
          <w:color w:val="000000" w:themeColor="text1"/>
          <w:sz w:val="24"/>
          <w:szCs w:val="24"/>
          <w:lang w:eastAsia="zh-CN"/>
          <w14:textFill>
            <w14:solidFill>
              <w14:schemeClr w14:val="tx1"/>
            </w14:solidFill>
          </w14:textFill>
        </w:rPr>
        <w:t>编制</w:t>
      </w:r>
      <w:r>
        <w:rPr>
          <w:rFonts w:hint="eastAsia" w:ascii="仿宋_GB2312" w:hAnsi="仿宋_GB2312" w:eastAsia="仿宋_GB2312" w:cs="仿宋_GB2312"/>
          <w:color w:val="000000" w:themeColor="text1"/>
          <w:sz w:val="24"/>
          <w:szCs w:val="24"/>
          <w14:textFill>
            <w14:solidFill>
              <w14:schemeClr w14:val="tx1"/>
            </w14:solidFill>
          </w14:textFill>
        </w:rPr>
        <w:t>专项规划</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6</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p>
    <w:p w14:paraId="4D333136">
      <w:pPr>
        <w:keepNext w:val="0"/>
        <w:keepLines w:val="0"/>
        <w:pageBreakBefore w:val="0"/>
        <w:widowControl w:val="0"/>
        <w:kinsoku/>
        <w:wordWrap/>
        <w:overflowPunct/>
        <w:topLinePunct w:val="0"/>
        <w:autoSpaceDE/>
        <w:autoSpaceDN/>
        <w:bidi w:val="0"/>
        <w:adjustRightInd/>
        <w:snapToGrid/>
        <w:spacing w:line="480" w:lineRule="exact"/>
        <w:ind w:firstLine="720" w:firstLineChars="300"/>
        <w:jc w:val="distribute"/>
        <w:textAlignment w:val="auto"/>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（三）纳入年度计划</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6</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p>
    <w:p w14:paraId="336CEC7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distribute"/>
        <w:textAlignment w:val="auto"/>
        <w:rPr>
          <w:rFonts w:hint="eastAsia" w:ascii="楷体_GB2312" w:hAnsi="楷体_GB2312" w:eastAsia="楷体_GB2312" w:cs="楷体_GB2312"/>
          <w:color w:val="000000" w:themeColor="text1"/>
          <w:sz w:val="24"/>
          <w:szCs w:val="24"/>
          <w:lang w:eastAsia="zh-CN"/>
          <w14:textFill>
            <w14:solidFill>
              <w14:schemeClr w14:val="tx1"/>
            </w14:solidFill>
          </w14:textFill>
        </w:rPr>
      </w:pPr>
      <w:r>
        <w:rPr>
          <w:rFonts w:hint="eastAsia" w:ascii="楷体_GB2312" w:hAnsi="楷体_GB2312" w:eastAsia="楷体_GB2312" w:cs="楷体_GB2312"/>
          <w:color w:val="000000" w:themeColor="text1"/>
          <w:sz w:val="24"/>
          <w:szCs w:val="24"/>
          <w14:textFill>
            <w14:solidFill>
              <w14:schemeClr w14:val="tx1"/>
            </w14:solidFill>
          </w14:textFill>
        </w:rPr>
        <w:t>三、强化实施监测评估</w:t>
      </w:r>
      <w:r>
        <w:rPr>
          <w:rFonts w:hint="eastAsia" w:ascii="楷体_GB2312" w:hAnsi="楷体_GB2312" w:eastAsia="楷体_GB2312" w:cs="楷体_GB2312"/>
          <w:color w:val="000000" w:themeColor="text1"/>
          <w:sz w:val="24"/>
          <w:szCs w:val="24"/>
          <w:lang w:val="en-US" w:eastAsia="zh-CN"/>
          <w14:textFill>
            <w14:solidFill>
              <w14:schemeClr w14:val="tx1"/>
            </w14:solidFill>
          </w14:textFill>
        </w:rPr>
        <w:t>………………………………………………………………</w:t>
      </w:r>
      <w:r>
        <w:rPr>
          <w:rFonts w:hint="eastAsia" w:ascii="楷体_GB2312" w:hAnsi="楷体_GB2312" w:eastAsia="楷体_GB2312" w:cs="楷体_GB2312"/>
          <w:color w:val="000000" w:themeColor="text1"/>
          <w:sz w:val="24"/>
          <w:szCs w:val="24"/>
          <w14:textFill>
            <w14:solidFill>
              <w14:schemeClr w14:val="tx1"/>
            </w14:solidFill>
          </w14:textFill>
        </w:rPr>
        <w:t>6</w:t>
      </w:r>
      <w:r>
        <w:rPr>
          <w:rFonts w:hint="eastAsia" w:ascii="楷体_GB2312" w:hAnsi="楷体_GB2312" w:eastAsia="楷体_GB2312" w:cs="楷体_GB2312"/>
          <w:color w:val="000000" w:themeColor="text1"/>
          <w:sz w:val="24"/>
          <w:szCs w:val="24"/>
          <w:lang w:val="en-US" w:eastAsia="zh-CN"/>
          <w14:textFill>
            <w14:solidFill>
              <w14:schemeClr w14:val="tx1"/>
            </w14:solidFill>
          </w14:textFill>
        </w:rPr>
        <w:t>2</w:t>
      </w:r>
    </w:p>
    <w:p w14:paraId="4BCD4712">
      <w:pPr>
        <w:keepNext w:val="0"/>
        <w:keepLines w:val="0"/>
        <w:pageBreakBefore w:val="0"/>
        <w:widowControl w:val="0"/>
        <w:kinsoku/>
        <w:wordWrap/>
        <w:overflowPunct/>
        <w:topLinePunct w:val="0"/>
        <w:autoSpaceDE/>
        <w:autoSpaceDN/>
        <w:bidi w:val="0"/>
        <w:adjustRightInd/>
        <w:snapToGrid/>
        <w:spacing w:line="480" w:lineRule="exact"/>
        <w:ind w:firstLine="720" w:firstLineChars="300"/>
        <w:jc w:val="distribute"/>
        <w:textAlignment w:val="auto"/>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（一）加强动态监测分析</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6</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p>
    <w:p w14:paraId="3D9FCE73">
      <w:pPr>
        <w:keepNext w:val="0"/>
        <w:keepLines w:val="0"/>
        <w:pageBreakBefore w:val="0"/>
        <w:widowControl w:val="0"/>
        <w:kinsoku/>
        <w:wordWrap/>
        <w:overflowPunct/>
        <w:topLinePunct w:val="0"/>
        <w:autoSpaceDE/>
        <w:autoSpaceDN/>
        <w:bidi w:val="0"/>
        <w:adjustRightInd/>
        <w:snapToGrid/>
        <w:spacing w:line="480" w:lineRule="exact"/>
        <w:ind w:firstLine="720" w:firstLineChars="300"/>
        <w:jc w:val="distribute"/>
        <w:textAlignment w:val="auto"/>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（二）建立年度监测评估机制</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6</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p>
    <w:p w14:paraId="78850ABE">
      <w:pPr>
        <w:keepNext w:val="0"/>
        <w:keepLines w:val="0"/>
        <w:pageBreakBefore w:val="0"/>
        <w:widowControl w:val="0"/>
        <w:kinsoku/>
        <w:wordWrap/>
        <w:overflowPunct/>
        <w:topLinePunct w:val="0"/>
        <w:autoSpaceDE/>
        <w:autoSpaceDN/>
        <w:bidi w:val="0"/>
        <w:adjustRightInd/>
        <w:snapToGrid/>
        <w:spacing w:line="480" w:lineRule="exact"/>
        <w:ind w:firstLine="720" w:firstLineChars="300"/>
        <w:jc w:val="distribute"/>
        <w:textAlignment w:val="auto"/>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（三）完善中期终期评估机制</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6</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p>
    <w:p w14:paraId="78ADA70F">
      <w:pPr>
        <w:keepNext w:val="0"/>
        <w:keepLines w:val="0"/>
        <w:pageBreakBefore w:val="0"/>
        <w:widowControl w:val="0"/>
        <w:kinsoku/>
        <w:wordWrap/>
        <w:overflowPunct/>
        <w:topLinePunct w:val="0"/>
        <w:autoSpaceDE/>
        <w:autoSpaceDN/>
        <w:bidi w:val="0"/>
        <w:adjustRightInd/>
        <w:snapToGrid/>
        <w:spacing w:line="480" w:lineRule="exact"/>
        <w:ind w:firstLine="720" w:firstLineChars="300"/>
        <w:jc w:val="distribute"/>
        <w:textAlignment w:val="auto"/>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（四）健全动态调整修订机制</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6</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w:t>
      </w:r>
    </w:p>
    <w:p w14:paraId="3A38E08B">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distribute"/>
        <w:textAlignment w:val="auto"/>
        <w:rPr>
          <w:rFonts w:hint="eastAsia" w:ascii="楷体_GB2312" w:hAnsi="楷体_GB2312" w:eastAsia="楷体_GB2312" w:cs="楷体_GB2312"/>
          <w:color w:val="000000" w:themeColor="text1"/>
          <w:sz w:val="24"/>
          <w:szCs w:val="24"/>
          <w:lang w:eastAsia="zh-CN"/>
          <w14:textFill>
            <w14:solidFill>
              <w14:schemeClr w14:val="tx1"/>
            </w14:solidFill>
          </w14:textFill>
        </w:rPr>
      </w:pPr>
      <w:r>
        <w:rPr>
          <w:rFonts w:hint="eastAsia" w:ascii="楷体_GB2312" w:hAnsi="楷体_GB2312" w:eastAsia="楷体_GB2312" w:cs="楷体_GB2312"/>
          <w:color w:val="000000" w:themeColor="text1"/>
          <w:sz w:val="24"/>
          <w:szCs w:val="24"/>
          <w14:textFill>
            <w14:solidFill>
              <w14:schemeClr w14:val="tx1"/>
            </w14:solidFill>
          </w14:textFill>
        </w:rPr>
        <w:t>四、完善监督考核机制</w:t>
      </w:r>
      <w:r>
        <w:rPr>
          <w:rFonts w:hint="eastAsia" w:ascii="楷体_GB2312" w:hAnsi="楷体_GB2312" w:eastAsia="楷体_GB2312" w:cs="楷体_GB2312"/>
          <w:color w:val="000000" w:themeColor="text1"/>
          <w:sz w:val="24"/>
          <w:szCs w:val="24"/>
          <w:lang w:val="en-US" w:eastAsia="zh-CN"/>
          <w14:textFill>
            <w14:solidFill>
              <w14:schemeClr w14:val="tx1"/>
            </w14:solidFill>
          </w14:textFill>
        </w:rPr>
        <w:t>………………………………………………………………</w:t>
      </w:r>
      <w:r>
        <w:rPr>
          <w:rFonts w:hint="eastAsia" w:ascii="楷体_GB2312" w:hAnsi="楷体_GB2312" w:eastAsia="楷体_GB2312" w:cs="楷体_GB2312"/>
          <w:color w:val="000000" w:themeColor="text1"/>
          <w:sz w:val="24"/>
          <w:szCs w:val="24"/>
          <w14:textFill>
            <w14:solidFill>
              <w14:schemeClr w14:val="tx1"/>
            </w14:solidFill>
          </w14:textFill>
        </w:rPr>
        <w:t>6</w:t>
      </w:r>
      <w:r>
        <w:rPr>
          <w:rFonts w:hint="eastAsia" w:ascii="楷体_GB2312" w:hAnsi="楷体_GB2312" w:eastAsia="楷体_GB2312" w:cs="楷体_GB2312"/>
          <w:color w:val="000000" w:themeColor="text1"/>
          <w:sz w:val="24"/>
          <w:szCs w:val="24"/>
          <w:lang w:val="en-US" w:eastAsia="zh-CN"/>
          <w14:textFill>
            <w14:solidFill>
              <w14:schemeClr w14:val="tx1"/>
            </w14:solidFill>
          </w14:textFill>
        </w:rPr>
        <w:t>3</w:t>
      </w:r>
    </w:p>
    <w:p w14:paraId="47A87EA9">
      <w:pPr>
        <w:keepNext w:val="0"/>
        <w:keepLines w:val="0"/>
        <w:pageBreakBefore w:val="0"/>
        <w:widowControl w:val="0"/>
        <w:kinsoku/>
        <w:wordWrap/>
        <w:overflowPunct/>
        <w:topLinePunct w:val="0"/>
        <w:autoSpaceDE/>
        <w:autoSpaceDN/>
        <w:bidi w:val="0"/>
        <w:adjustRightInd/>
        <w:snapToGrid/>
        <w:spacing w:line="480" w:lineRule="exact"/>
        <w:ind w:firstLine="720" w:firstLineChars="300"/>
        <w:jc w:val="distribute"/>
        <w:textAlignment w:val="auto"/>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（一）服从党和国家的监督管理</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6</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w:t>
      </w:r>
    </w:p>
    <w:p w14:paraId="0BC278F9">
      <w:pPr>
        <w:keepNext w:val="0"/>
        <w:keepLines w:val="0"/>
        <w:pageBreakBefore w:val="0"/>
        <w:widowControl w:val="0"/>
        <w:kinsoku/>
        <w:wordWrap/>
        <w:overflowPunct/>
        <w:topLinePunct w:val="0"/>
        <w:autoSpaceDE/>
        <w:autoSpaceDN/>
        <w:bidi w:val="0"/>
        <w:adjustRightInd/>
        <w:snapToGrid/>
        <w:spacing w:line="480" w:lineRule="exact"/>
        <w:ind w:firstLine="720" w:firstLineChars="300"/>
        <w:jc w:val="distribute"/>
        <w:textAlignment w:val="auto"/>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（二）强化人大监督作用</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6</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w:t>
      </w:r>
    </w:p>
    <w:p w14:paraId="3E2ABFB5">
      <w:pPr>
        <w:keepNext w:val="0"/>
        <w:keepLines w:val="0"/>
        <w:pageBreakBefore w:val="0"/>
        <w:widowControl w:val="0"/>
        <w:kinsoku/>
        <w:wordWrap/>
        <w:overflowPunct/>
        <w:topLinePunct w:val="0"/>
        <w:autoSpaceDE/>
        <w:autoSpaceDN/>
        <w:bidi w:val="0"/>
        <w:adjustRightInd/>
        <w:snapToGrid/>
        <w:spacing w:line="480" w:lineRule="exact"/>
        <w:ind w:firstLine="720" w:firstLineChars="300"/>
        <w:jc w:val="distribute"/>
        <w:textAlignment w:val="auto"/>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（三）完善社会监督机制</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6</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w:t>
      </w:r>
    </w:p>
    <w:p w14:paraId="2995A563">
      <w:pPr>
        <w:keepNext w:val="0"/>
        <w:keepLines w:val="0"/>
        <w:pageBreakBefore w:val="0"/>
        <w:widowControl w:val="0"/>
        <w:kinsoku/>
        <w:wordWrap/>
        <w:overflowPunct/>
        <w:topLinePunct w:val="0"/>
        <w:autoSpaceDE/>
        <w:autoSpaceDN/>
        <w:bidi w:val="0"/>
        <w:adjustRightInd/>
        <w:snapToGrid/>
        <w:spacing w:line="480" w:lineRule="exact"/>
        <w:ind w:firstLine="720" w:firstLineChars="300"/>
        <w:jc w:val="distribute"/>
        <w:textAlignment w:val="auto"/>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（四）加强规划实施考核评价</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6</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w:t>
      </w:r>
    </w:p>
    <w:p w14:paraId="5735DD2A">
      <w:pPr>
        <w:rPr>
          <w:rFonts w:ascii="宋体" w:hAnsi="宋体" w:eastAsia="宋体" w:cs="宋体"/>
          <w:color w:val="000000" w:themeColor="text1"/>
          <w:sz w:val="36"/>
          <w:szCs w:val="20"/>
          <w14:textFill>
            <w14:solidFill>
              <w14:schemeClr w14:val="tx1"/>
            </w14:solidFill>
          </w14:textFill>
        </w:rPr>
      </w:pPr>
    </w:p>
    <w:p w14:paraId="73774009">
      <w:pPr>
        <w:sectPr>
          <w:footerReference r:id="rId8" w:type="default"/>
          <w:pgSz w:w="11906" w:h="16838"/>
          <w:pgMar w:top="1984" w:right="1531" w:bottom="1701" w:left="1531" w:header="851" w:footer="1247" w:gutter="0"/>
          <w:pgNumType w:fmt="numberInDash" w:start="1"/>
          <w:cols w:space="0" w:num="1"/>
          <w:docGrid w:type="lines" w:linePitch="312" w:charSpace="0"/>
        </w:sectPr>
      </w:pPr>
    </w:p>
    <w:p w14:paraId="2F22E280">
      <w:pPr>
        <w:pStyle w:val="4"/>
        <w:keepNext w:val="0"/>
        <w:keepLines w:val="0"/>
        <w:pageBreakBefore w:val="0"/>
        <w:widowControl w:val="0"/>
        <w:numPr>
          <w:ilvl w:val="0"/>
          <w:numId w:val="1"/>
        </w:numPr>
        <w:kinsoku/>
        <w:wordWrap/>
        <w:overflowPunct/>
        <w:topLinePunct w:val="0"/>
        <w:autoSpaceDE/>
        <w:autoSpaceDN/>
        <w:bidi w:val="0"/>
        <w:spacing w:before="0" w:after="0" w:line="560" w:lineRule="exact"/>
        <w:jc w:val="center"/>
        <w:textAlignment w:val="auto"/>
        <w:rPr>
          <w:rFonts w:ascii="宋体" w:hAnsi="宋体" w:eastAsia="宋体" w:cs="宋体"/>
          <w:color w:val="000000" w:themeColor="text1"/>
          <w:sz w:val="36"/>
          <w:szCs w:val="20"/>
          <w14:textFill>
            <w14:solidFill>
              <w14:schemeClr w14:val="tx1"/>
            </w14:solidFill>
          </w14:textFill>
        </w:rPr>
      </w:pPr>
      <w:r>
        <w:rPr>
          <w:rFonts w:hint="eastAsia" w:ascii="宋体" w:hAnsi="宋体" w:eastAsia="宋体" w:cs="宋体"/>
          <w:color w:val="000000" w:themeColor="text1"/>
          <w:sz w:val="36"/>
          <w:szCs w:val="20"/>
          <w14:textFill>
            <w14:solidFill>
              <w14:schemeClr w14:val="tx1"/>
            </w14:solidFill>
          </w14:textFill>
        </w:rPr>
        <w:t xml:space="preserve"> </w:t>
      </w:r>
      <w:bookmarkStart w:id="16" w:name="_Toc8104"/>
      <w:r>
        <w:rPr>
          <w:rFonts w:hint="eastAsia" w:ascii="宋体" w:hAnsi="宋体" w:eastAsia="宋体" w:cs="宋体"/>
          <w:color w:val="000000" w:themeColor="text1"/>
          <w:sz w:val="36"/>
          <w:szCs w:val="20"/>
          <w14:textFill>
            <w14:solidFill>
              <w14:schemeClr w14:val="tx1"/>
            </w14:solidFill>
          </w14:textFill>
        </w:rPr>
        <w:t>“十三五”时期清河县</w:t>
      </w:r>
      <w:bookmarkStart w:id="17" w:name="_Toc16241"/>
      <w:r>
        <w:rPr>
          <w:rFonts w:hint="eastAsia" w:ascii="宋体" w:hAnsi="宋体" w:eastAsia="宋体" w:cs="宋体"/>
          <w:color w:val="000000" w:themeColor="text1"/>
          <w:sz w:val="36"/>
          <w:szCs w:val="20"/>
          <w14:textFill>
            <w14:solidFill>
              <w14:schemeClr w14:val="tx1"/>
            </w14:solidFill>
          </w14:textFill>
        </w:rPr>
        <w:t>全面建成</w:t>
      </w:r>
      <w:bookmarkEnd w:id="16"/>
    </w:p>
    <w:p w14:paraId="02A33E8B">
      <w:pPr>
        <w:pStyle w:val="4"/>
        <w:keepNext w:val="0"/>
        <w:keepLines w:val="0"/>
        <w:pageBreakBefore w:val="0"/>
        <w:widowControl w:val="0"/>
        <w:kinsoku/>
        <w:wordWrap/>
        <w:overflowPunct/>
        <w:topLinePunct w:val="0"/>
        <w:autoSpaceDE/>
        <w:autoSpaceDN/>
        <w:bidi w:val="0"/>
        <w:spacing w:before="0" w:after="0" w:line="560" w:lineRule="exact"/>
        <w:jc w:val="center"/>
        <w:textAlignment w:val="auto"/>
        <w:rPr>
          <w:rFonts w:ascii="宋体" w:hAnsi="宋体" w:eastAsia="宋体" w:cs="宋体"/>
          <w:color w:val="000000" w:themeColor="text1"/>
          <w:sz w:val="36"/>
          <w:szCs w:val="20"/>
          <w14:textFill>
            <w14:solidFill>
              <w14:schemeClr w14:val="tx1"/>
            </w14:solidFill>
          </w14:textFill>
        </w:rPr>
      </w:pPr>
      <w:bookmarkStart w:id="18" w:name="_Toc5464"/>
      <w:bookmarkStart w:id="19" w:name="_Toc18909"/>
      <w:bookmarkStart w:id="20" w:name="_Toc9958"/>
      <w:bookmarkStart w:id="21" w:name="_Toc23364"/>
      <w:bookmarkStart w:id="22" w:name="_Toc11482"/>
      <w:bookmarkStart w:id="23" w:name="_Toc7725"/>
      <w:r>
        <w:rPr>
          <w:rFonts w:hint="eastAsia" w:ascii="宋体" w:hAnsi="宋体" w:eastAsia="宋体" w:cs="宋体"/>
          <w:color w:val="000000" w:themeColor="text1"/>
          <w:sz w:val="36"/>
          <w:szCs w:val="20"/>
          <w14:textFill>
            <w14:solidFill>
              <w14:schemeClr w14:val="tx1"/>
            </w14:solidFill>
          </w14:textFill>
        </w:rPr>
        <w:t>小康社会取得的决定性成就</w:t>
      </w:r>
      <w:bookmarkEnd w:id="13"/>
      <w:bookmarkEnd w:id="14"/>
      <w:bookmarkEnd w:id="17"/>
      <w:bookmarkEnd w:id="18"/>
      <w:bookmarkEnd w:id="19"/>
      <w:bookmarkEnd w:id="20"/>
      <w:bookmarkEnd w:id="21"/>
      <w:bookmarkEnd w:id="22"/>
      <w:bookmarkEnd w:id="23"/>
    </w:p>
    <w:p w14:paraId="1442E45A">
      <w:pPr>
        <w:keepNext w:val="0"/>
        <w:keepLines w:val="0"/>
        <w:pageBreakBefore w:val="0"/>
        <w:widowControl w:val="0"/>
        <w:kinsoku/>
        <w:wordWrap/>
        <w:overflowPunct/>
        <w:topLinePunct w:val="0"/>
        <w:autoSpaceDE/>
        <w:autoSpaceDN/>
        <w:bidi w:val="0"/>
        <w:spacing w:line="440" w:lineRule="exact"/>
        <w:textAlignment w:val="auto"/>
        <w:rPr>
          <w:color w:val="000000" w:themeColor="text1"/>
          <w14:textFill>
            <w14:solidFill>
              <w14:schemeClr w14:val="tx1"/>
            </w14:solidFill>
          </w14:textFill>
        </w:rPr>
      </w:pPr>
    </w:p>
    <w:bookmarkEnd w:id="15"/>
    <w:p w14:paraId="1DEE424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十三五”时期，是我县发展历程中极其不平凡的五年。五年来，县委、县政府团结和带领全县人民，在以习近平同志为核心的党中央坚强领导下，在省委、省政府、市委、市政府的正确领导下，认真贯彻落实党的十九大和十九届二中、三中、四中、五中全会精神，坚持以党的领导统领全局，坚定不移落实新发展理念，坚持稳中求进，积极应对各种风险挑战，严格按照“经济强县，美丽清河”的发展定位，坚持</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创新驱动发展战略</w:t>
      </w:r>
      <w:r>
        <w:rPr>
          <w:rFonts w:hint="eastAsia" w:ascii="Times New Roman" w:hAnsi="Times New Roman" w:eastAsia="仿宋_GB2312" w:cs="Times New Roman"/>
          <w:color w:val="000000" w:themeColor="text1"/>
          <w:sz w:val="28"/>
          <w:szCs w:val="28"/>
          <w14:textFill>
            <w14:solidFill>
              <w14:schemeClr w14:val="tx1"/>
            </w14:solidFill>
          </w14:textFill>
        </w:rPr>
        <w:t>，全县上下“不忘初心、牢记使命”，主动作为、激情担当，不断解放思想，深化改革开放，全力推动创新发展、绿色发展、高质量赶超发展，圆满完成了“十三五”规划的主要目标任务，如期实现全面建成小康社会目标，为“十四五”开启</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全面建设社会主义现代化国家新征程</w:t>
      </w:r>
      <w:r>
        <w:rPr>
          <w:rFonts w:hint="eastAsia" w:ascii="Times New Roman" w:hAnsi="Times New Roman" w:eastAsia="仿宋_GB2312" w:cs="Times New Roman"/>
          <w:color w:val="000000" w:themeColor="text1"/>
          <w:sz w:val="28"/>
          <w:szCs w:val="28"/>
          <w14:textFill>
            <w14:solidFill>
              <w14:schemeClr w14:val="tx1"/>
            </w14:solidFill>
          </w14:textFill>
        </w:rPr>
        <w:t>奠定了坚实基础。</w:t>
      </w:r>
    </w:p>
    <w:p w14:paraId="55FE8DA0">
      <w:pPr>
        <w:pStyle w:val="5"/>
        <w:keepNext w:val="0"/>
        <w:keepLines w:val="0"/>
        <w:pageBreakBefore w:val="0"/>
        <w:widowControl w:val="0"/>
        <w:kinsoku/>
        <w:wordWrap/>
        <w:overflowPunct/>
        <w:topLinePunct w:val="0"/>
        <w:autoSpaceDE/>
        <w:autoSpaceDN/>
        <w:bidi w:val="0"/>
        <w:adjustRightInd/>
        <w:snapToGrid/>
        <w:spacing w:before="0" w:after="0" w:line="560" w:lineRule="exact"/>
        <w:ind w:firstLine="560" w:firstLineChars="200"/>
        <w:textAlignment w:val="auto"/>
        <w:rPr>
          <w:rFonts w:ascii="黑体" w:hAnsi="黑体" w:eastAsia="黑体"/>
          <w:b w:val="0"/>
          <w:bCs w:val="0"/>
          <w:color w:val="000000" w:themeColor="text1"/>
          <w:sz w:val="28"/>
          <w:szCs w:val="28"/>
          <w14:textFill>
            <w14:solidFill>
              <w14:schemeClr w14:val="tx1"/>
            </w14:solidFill>
          </w14:textFill>
        </w:rPr>
      </w:pPr>
      <w:bookmarkStart w:id="24" w:name="_Toc6594"/>
      <w:bookmarkStart w:id="25" w:name="_Toc21568"/>
      <w:bookmarkStart w:id="26" w:name="_Toc29203"/>
      <w:r>
        <w:rPr>
          <w:rFonts w:hint="eastAsia" w:ascii="黑体" w:hAnsi="黑体" w:eastAsia="黑体"/>
          <w:b w:val="0"/>
          <w:bCs w:val="0"/>
          <w:color w:val="000000" w:themeColor="text1"/>
          <w:sz w:val="28"/>
          <w:szCs w:val="28"/>
          <w14:textFill>
            <w14:solidFill>
              <w14:schemeClr w14:val="tx1"/>
            </w14:solidFill>
          </w14:textFill>
        </w:rPr>
        <w:t>一、综合实力</w:t>
      </w:r>
      <w:bookmarkEnd w:id="24"/>
      <w:bookmarkEnd w:id="25"/>
      <w:r>
        <w:rPr>
          <w:rFonts w:hint="eastAsia" w:ascii="黑体" w:hAnsi="黑体" w:eastAsia="黑体"/>
          <w:b w:val="0"/>
          <w:bCs w:val="0"/>
          <w:color w:val="000000" w:themeColor="text1"/>
          <w:sz w:val="28"/>
          <w:szCs w:val="28"/>
          <w14:textFill>
            <w14:solidFill>
              <w14:schemeClr w14:val="tx1"/>
            </w14:solidFill>
          </w14:textFill>
        </w:rPr>
        <w:t>跃上新台阶，提前实现两个翻番</w:t>
      </w:r>
      <w:bookmarkEnd w:id="26"/>
    </w:p>
    <w:p w14:paraId="761F0BD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三五”期间，全县经济发展保持较快增长态势，主要经济指标增幅均高于全市各县（市、区）平均水平，全县综合实力迈上新台阶。2020年，全县生产总值完成147.7亿元，实现年均增长6.7%；城镇居民人均可支配收入达</w:t>
      </w:r>
      <w:r>
        <w:rPr>
          <w:rFonts w:ascii="仿宋_GB2312" w:hAnsi="仿宋_GB2312" w:eastAsia="仿宋_GB2312" w:cs="仿宋_GB2312"/>
          <w:color w:val="000000" w:themeColor="text1"/>
          <w:sz w:val="28"/>
          <w:szCs w:val="28"/>
          <w14:textFill>
            <w14:solidFill>
              <w14:schemeClr w14:val="tx1"/>
            </w14:solidFill>
          </w14:textFill>
        </w:rPr>
        <w:t>33919</w:t>
      </w:r>
      <w:r>
        <w:rPr>
          <w:rFonts w:hint="eastAsia" w:ascii="仿宋_GB2312" w:hAnsi="仿宋_GB2312" w:eastAsia="仿宋_GB2312" w:cs="仿宋_GB2312"/>
          <w:color w:val="000000" w:themeColor="text1"/>
          <w:sz w:val="28"/>
          <w:szCs w:val="28"/>
          <w14:textFill>
            <w14:solidFill>
              <w14:schemeClr w14:val="tx1"/>
            </w14:solidFill>
          </w14:textFill>
        </w:rPr>
        <w:t>元，农村居民人均可支配收入达1</w:t>
      </w:r>
      <w:r>
        <w:rPr>
          <w:rFonts w:ascii="仿宋_GB2312" w:hAnsi="仿宋_GB2312" w:eastAsia="仿宋_GB2312" w:cs="仿宋_GB2312"/>
          <w:color w:val="000000" w:themeColor="text1"/>
          <w:sz w:val="28"/>
          <w:szCs w:val="28"/>
          <w14:textFill>
            <w14:solidFill>
              <w14:schemeClr w14:val="tx1"/>
            </w14:solidFill>
          </w14:textFill>
        </w:rPr>
        <w:t>8213</w:t>
      </w:r>
      <w:r>
        <w:rPr>
          <w:rFonts w:hint="eastAsia" w:ascii="仿宋_GB2312" w:hAnsi="仿宋_GB2312" w:eastAsia="仿宋_GB2312" w:cs="仿宋_GB2312"/>
          <w:color w:val="000000" w:themeColor="text1"/>
          <w:sz w:val="28"/>
          <w:szCs w:val="28"/>
          <w14:textFill>
            <w14:solidFill>
              <w14:schemeClr w14:val="tx1"/>
            </w14:solidFill>
          </w14:textFill>
        </w:rPr>
        <w:t>元，相比上年分别增长</w:t>
      </w:r>
      <w:r>
        <w:rPr>
          <w:rFonts w:ascii="仿宋_GB2312" w:hAnsi="仿宋_GB2312" w:eastAsia="仿宋_GB2312" w:cs="仿宋_GB2312"/>
          <w:color w:val="000000" w:themeColor="text1"/>
          <w:sz w:val="28"/>
          <w:szCs w:val="28"/>
          <w14:textFill>
            <w14:solidFill>
              <w14:schemeClr w14:val="tx1"/>
            </w14:solidFill>
          </w14:textFill>
        </w:rPr>
        <w:t>4.3</w:t>
      </w:r>
      <w:r>
        <w:rPr>
          <w:rFonts w:hint="eastAsia" w:ascii="仿宋_GB2312" w:hAnsi="仿宋_GB2312" w:eastAsia="仿宋_GB2312" w:cs="仿宋_GB2312"/>
          <w:color w:val="000000" w:themeColor="text1"/>
          <w:sz w:val="28"/>
          <w:szCs w:val="28"/>
          <w14:textFill>
            <w14:solidFill>
              <w14:schemeClr w14:val="tx1"/>
            </w14:solidFill>
          </w14:textFill>
        </w:rPr>
        <w:t>%和</w:t>
      </w:r>
      <w:r>
        <w:rPr>
          <w:rFonts w:ascii="仿宋_GB2312" w:hAnsi="仿宋_GB2312" w:eastAsia="仿宋_GB2312" w:cs="仿宋_GB2312"/>
          <w:color w:val="000000" w:themeColor="text1"/>
          <w:sz w:val="28"/>
          <w:szCs w:val="28"/>
          <w14:textFill>
            <w14:solidFill>
              <w14:schemeClr w14:val="tx1"/>
            </w14:solidFill>
          </w14:textFill>
        </w:rPr>
        <w:t>8</w:t>
      </w:r>
      <w:r>
        <w:rPr>
          <w:rFonts w:hint="eastAsia" w:ascii="仿宋_GB2312" w:hAnsi="仿宋_GB2312" w:eastAsia="仿宋_GB2312" w:cs="仿宋_GB2312"/>
          <w:color w:val="000000" w:themeColor="text1"/>
          <w:sz w:val="28"/>
          <w:szCs w:val="28"/>
          <w14:textFill>
            <w14:solidFill>
              <w14:schemeClr w14:val="tx1"/>
            </w14:solidFill>
          </w14:textFill>
        </w:rPr>
        <w:t>%，提前一年实现了“两个翻番”小康目标。全部财政收入完成16.8亿元，其中公共财政预算收入完成10.4亿元，是2015年的1.54倍和1.84倍，分别实现年均增长9%和12.95%。</w:t>
      </w:r>
    </w:p>
    <w:p w14:paraId="1F1A968A">
      <w:pPr>
        <w:pStyle w:val="5"/>
        <w:keepNext w:val="0"/>
        <w:keepLines w:val="0"/>
        <w:pageBreakBefore w:val="0"/>
        <w:widowControl w:val="0"/>
        <w:kinsoku/>
        <w:wordWrap/>
        <w:overflowPunct/>
        <w:topLinePunct w:val="0"/>
        <w:autoSpaceDE/>
        <w:autoSpaceDN/>
        <w:bidi w:val="0"/>
        <w:adjustRightInd/>
        <w:snapToGrid/>
        <w:spacing w:before="0" w:after="0" w:line="560" w:lineRule="exact"/>
        <w:ind w:firstLine="560" w:firstLineChars="200"/>
        <w:textAlignment w:val="auto"/>
        <w:rPr>
          <w:rFonts w:ascii="黑体" w:hAnsi="黑体" w:eastAsia="黑体"/>
          <w:b w:val="0"/>
          <w:bCs w:val="0"/>
          <w:color w:val="000000" w:themeColor="text1"/>
          <w:sz w:val="28"/>
          <w:szCs w:val="28"/>
          <w14:textFill>
            <w14:solidFill>
              <w14:schemeClr w14:val="tx1"/>
            </w14:solidFill>
          </w14:textFill>
        </w:rPr>
      </w:pPr>
      <w:bookmarkStart w:id="27" w:name="_Toc16548"/>
      <w:bookmarkStart w:id="28" w:name="_Toc7180"/>
      <w:bookmarkStart w:id="29" w:name="_Toc17061"/>
      <w:r>
        <w:rPr>
          <w:rFonts w:hint="eastAsia" w:ascii="黑体" w:hAnsi="黑体" w:eastAsia="黑体"/>
          <w:b w:val="0"/>
          <w:bCs w:val="0"/>
          <w:color w:val="000000" w:themeColor="text1"/>
          <w:sz w:val="28"/>
          <w:szCs w:val="28"/>
          <w14:textFill>
            <w14:solidFill>
              <w14:schemeClr w14:val="tx1"/>
            </w14:solidFill>
          </w14:textFill>
        </w:rPr>
        <w:t>二、产业体系持续优化</w:t>
      </w:r>
      <w:bookmarkEnd w:id="27"/>
      <w:bookmarkEnd w:id="28"/>
      <w:r>
        <w:rPr>
          <w:rFonts w:hint="eastAsia" w:ascii="黑体" w:hAnsi="黑体" w:eastAsia="黑体"/>
          <w:b w:val="0"/>
          <w:bCs w:val="0"/>
          <w:color w:val="000000" w:themeColor="text1"/>
          <w:sz w:val="28"/>
          <w:szCs w:val="28"/>
          <w14:textFill>
            <w14:solidFill>
              <w14:schemeClr w14:val="tx1"/>
            </w14:solidFill>
          </w14:textFill>
        </w:rPr>
        <w:t>，发展动力更加强劲</w:t>
      </w:r>
      <w:bookmarkEnd w:id="29"/>
    </w:p>
    <w:p w14:paraId="57B03C3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“十三五”期间，全县坚持创新驱动、转型升级，产业体系不断巩固壮大和优化提升，三次产业结构比例由2015年的</w:t>
      </w:r>
      <w:r>
        <w:rPr>
          <w:rFonts w:ascii="仿宋_GB2312" w:hAnsi="仿宋_GB2312" w:eastAsia="仿宋_GB2312" w:cs="仿宋_GB2312"/>
          <w:color w:val="000000" w:themeColor="text1"/>
          <w:sz w:val="28"/>
          <w:szCs w:val="28"/>
          <w14:textFill>
            <w14:solidFill>
              <w14:schemeClr w14:val="tx1"/>
            </w14:solidFill>
          </w14:textFill>
        </w:rPr>
        <w:t>7</w:t>
      </w:r>
      <w:r>
        <w:rPr>
          <w:rFonts w:hint="eastAsia" w:ascii="仿宋_GB2312" w:hAnsi="仿宋_GB2312" w:eastAsia="仿宋_GB2312" w:cs="仿宋_GB2312"/>
          <w:color w:val="000000" w:themeColor="text1"/>
          <w:sz w:val="28"/>
          <w:szCs w:val="28"/>
          <w14:textFill>
            <w14:solidFill>
              <w14:schemeClr w14:val="tx1"/>
            </w14:solidFill>
          </w14:textFill>
        </w:rPr>
        <w:t>.4:4</w:t>
      </w:r>
      <w:r>
        <w:rPr>
          <w:rFonts w:ascii="仿宋_GB2312" w:hAnsi="仿宋_GB2312" w:eastAsia="仿宋_GB2312" w:cs="仿宋_GB2312"/>
          <w:color w:val="000000" w:themeColor="text1"/>
          <w:sz w:val="28"/>
          <w:szCs w:val="28"/>
          <w14:textFill>
            <w14:solidFill>
              <w14:schemeClr w14:val="tx1"/>
            </w14:solidFill>
          </w14:textFill>
        </w:rPr>
        <w:t>6.1</w:t>
      </w:r>
      <w:r>
        <w:rPr>
          <w:rFonts w:hint="eastAsia" w:ascii="仿宋_GB2312" w:hAnsi="仿宋_GB2312" w:eastAsia="仿宋_GB2312" w:cs="仿宋_GB2312"/>
          <w:color w:val="000000" w:themeColor="text1"/>
          <w:sz w:val="28"/>
          <w:szCs w:val="28"/>
          <w14:textFill>
            <w14:solidFill>
              <w14:schemeClr w14:val="tx1"/>
            </w14:solidFill>
          </w14:textFill>
        </w:rPr>
        <w:t>:4</w:t>
      </w:r>
      <w:r>
        <w:rPr>
          <w:rFonts w:ascii="仿宋_GB2312" w:hAnsi="仿宋_GB2312" w:eastAsia="仿宋_GB2312" w:cs="仿宋_GB2312"/>
          <w:color w:val="000000" w:themeColor="text1"/>
          <w:sz w:val="28"/>
          <w:szCs w:val="28"/>
          <w14:textFill>
            <w14:solidFill>
              <w14:schemeClr w14:val="tx1"/>
            </w14:solidFill>
          </w14:textFill>
        </w:rPr>
        <w:t>6.5</w:t>
      </w:r>
      <w:r>
        <w:rPr>
          <w:rFonts w:hint="eastAsia" w:ascii="仿宋_GB2312" w:hAnsi="仿宋_GB2312" w:eastAsia="仿宋_GB2312" w:cs="仿宋_GB2312"/>
          <w:color w:val="000000" w:themeColor="text1"/>
          <w:sz w:val="28"/>
          <w:szCs w:val="28"/>
          <w14:textFill>
            <w14:solidFill>
              <w14:schemeClr w14:val="tx1"/>
            </w14:solidFill>
          </w14:textFill>
        </w:rPr>
        <w:t>优化为2</w:t>
      </w:r>
      <w:r>
        <w:rPr>
          <w:rFonts w:ascii="仿宋_GB2312" w:hAnsi="仿宋_GB2312" w:eastAsia="仿宋_GB2312" w:cs="仿宋_GB2312"/>
          <w:color w:val="000000" w:themeColor="text1"/>
          <w:sz w:val="28"/>
          <w:szCs w:val="28"/>
          <w14:textFill>
            <w14:solidFill>
              <w14:schemeClr w14:val="tx1"/>
            </w14:solidFill>
          </w14:textFill>
        </w:rPr>
        <w:t>020</w:t>
      </w:r>
      <w:r>
        <w:rPr>
          <w:rFonts w:hint="eastAsia" w:ascii="仿宋_GB2312" w:hAnsi="仿宋_GB2312" w:eastAsia="仿宋_GB2312" w:cs="仿宋_GB2312"/>
          <w:color w:val="000000" w:themeColor="text1"/>
          <w:sz w:val="28"/>
          <w:szCs w:val="28"/>
          <w14:textFill>
            <w14:solidFill>
              <w14:schemeClr w14:val="tx1"/>
            </w14:solidFill>
          </w14:textFill>
        </w:rPr>
        <w:t>年的4.9:40.9:54.2。</w:t>
      </w:r>
    </w:p>
    <w:p w14:paraId="49D91BA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2"/>
        <w:rPr>
          <w:rFonts w:ascii="楷体_GB2312" w:hAnsi="楷体_GB2312" w:eastAsia="楷体_GB2312" w:cs="楷体_GB2312"/>
          <w:b w:val="0"/>
          <w:bCs w:val="0"/>
          <w:color w:val="000000" w:themeColor="text1"/>
          <w:sz w:val="28"/>
          <w:szCs w:val="28"/>
          <w14:textFill>
            <w14:solidFill>
              <w14:schemeClr w14:val="tx1"/>
            </w14:solidFill>
          </w14:textFill>
        </w:rPr>
      </w:pPr>
      <w:bookmarkStart w:id="30" w:name="_Toc27024"/>
      <w:bookmarkStart w:id="31" w:name="_Toc15430"/>
      <w:bookmarkStart w:id="32" w:name="_Toc31809"/>
      <w:bookmarkStart w:id="33" w:name="_Toc26567"/>
      <w:bookmarkStart w:id="34" w:name="_Toc17074"/>
      <w:bookmarkStart w:id="35" w:name="_Toc25510"/>
      <w:r>
        <w:rPr>
          <w:rFonts w:hint="eastAsia" w:ascii="楷体_GB2312" w:hAnsi="楷体_GB2312" w:eastAsia="楷体_GB2312" w:cs="楷体_GB2312"/>
          <w:b w:val="0"/>
          <w:bCs w:val="0"/>
          <w:color w:val="000000" w:themeColor="text1"/>
          <w:sz w:val="28"/>
          <w:szCs w:val="28"/>
          <w14:textFill>
            <w14:solidFill>
              <w14:schemeClr w14:val="tx1"/>
            </w14:solidFill>
          </w14:textFill>
        </w:rPr>
        <w:t>（一）农业生产持续增效</w:t>
      </w:r>
      <w:bookmarkEnd w:id="30"/>
      <w:bookmarkEnd w:id="31"/>
      <w:bookmarkEnd w:id="32"/>
      <w:bookmarkEnd w:id="33"/>
      <w:bookmarkEnd w:id="34"/>
      <w:bookmarkEnd w:id="35"/>
    </w:p>
    <w:p w14:paraId="52DFA5E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扎实推进农业供给侧结构性改革，着力稳定粮食综合能力及农产品生产。</w:t>
      </w:r>
      <w:r>
        <w:rPr>
          <w:rFonts w:hint="eastAsia" w:ascii="仿宋_GB2312" w:hAnsi="仿宋_GB2312" w:eastAsia="仿宋_GB2312" w:cs="仿宋_GB2312"/>
          <w:b/>
          <w:bCs/>
          <w:color w:val="000000" w:themeColor="text1"/>
          <w:sz w:val="28"/>
          <w:szCs w:val="28"/>
          <w14:textFill>
            <w14:solidFill>
              <w14:schemeClr w14:val="tx1"/>
            </w14:solidFill>
          </w14:textFill>
        </w:rPr>
        <w:t>粮食安全得到保障。</w:t>
      </w:r>
      <w:r>
        <w:rPr>
          <w:rFonts w:hint="eastAsia" w:ascii="仿宋_GB2312" w:hAnsi="仿宋_GB2312" w:eastAsia="仿宋_GB2312" w:cs="仿宋_GB2312"/>
          <w:color w:val="000000" w:themeColor="text1"/>
          <w:sz w:val="28"/>
          <w:szCs w:val="28"/>
          <w14:textFill>
            <w14:solidFill>
              <w14:schemeClr w14:val="tx1"/>
            </w14:solidFill>
          </w14:textFill>
        </w:rPr>
        <w:t>完成全县粮食生产功能区划定，狠抓高标准农田和水利设施建设，积极落实“渤海粮仓科技工程”示范推广，加快实施粮食丰产增效科技创新重点专项河北辐射区项目，粮食总产实现连年稳产丰收。2020年，全县粮食总产26.62万吨，比“十二五”期末增长</w:t>
      </w:r>
      <w:r>
        <w:rPr>
          <w:rFonts w:ascii="仿宋_GB2312" w:hAnsi="仿宋_GB2312" w:eastAsia="仿宋_GB2312" w:cs="仿宋_GB2312"/>
          <w:color w:val="000000" w:themeColor="text1"/>
          <w:sz w:val="28"/>
          <w:szCs w:val="28"/>
          <w14:textFill>
            <w14:solidFill>
              <w14:schemeClr w14:val="tx1"/>
            </w14:solidFill>
          </w14:textFill>
        </w:rPr>
        <w:t>2.3</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b/>
          <w:bCs/>
          <w:color w:val="000000" w:themeColor="text1"/>
          <w:sz w:val="28"/>
          <w:szCs w:val="28"/>
          <w14:textFill>
            <w14:solidFill>
              <w14:schemeClr w14:val="tx1"/>
            </w14:solidFill>
          </w14:textFill>
        </w:rPr>
        <w:t>现代农业快速发展。</w:t>
      </w:r>
      <w:r>
        <w:rPr>
          <w:rFonts w:hint="eastAsia" w:ascii="仿宋_GB2312" w:hAnsi="仿宋_GB2312" w:eastAsia="仿宋_GB2312" w:cs="仿宋_GB2312"/>
          <w:color w:val="000000" w:themeColor="text1"/>
          <w:sz w:val="28"/>
          <w:szCs w:val="28"/>
          <w14:textFill>
            <w14:solidFill>
              <w14:schemeClr w14:val="tx1"/>
            </w14:solidFill>
          </w14:textFill>
        </w:rPr>
        <w:t>依托清河县农业资源禀赋和基础优势，完成农村土地确权，土地流转面积达到16.1万亩；创建省级农业园区1家、市级园区4家；获批市级及以上农业产业化重点龙头企业11家，其中省级4家。</w:t>
      </w:r>
      <w:r>
        <w:rPr>
          <w:rFonts w:hint="eastAsia" w:ascii="仿宋_GB2312" w:hAnsi="仿宋_GB2312" w:eastAsia="仿宋_GB2312" w:cs="仿宋_GB2312"/>
          <w:b/>
          <w:bCs/>
          <w:color w:val="000000" w:themeColor="text1"/>
          <w:kern w:val="0"/>
          <w:sz w:val="28"/>
          <w:szCs w:val="28"/>
          <w14:textFill>
            <w14:solidFill>
              <w14:schemeClr w14:val="tx1"/>
            </w14:solidFill>
          </w14:textFill>
        </w:rPr>
        <w:t>特色农业成效显著。</w:t>
      </w:r>
      <w:r>
        <w:rPr>
          <w:rFonts w:hint="eastAsia" w:ascii="仿宋_GB2312" w:hAnsi="仿宋_GB2312" w:eastAsia="仿宋_GB2312" w:cs="仿宋_GB2312"/>
          <w:color w:val="000000" w:themeColor="text1"/>
          <w:sz w:val="28"/>
          <w:szCs w:val="28"/>
          <w14:textFill>
            <w14:solidFill>
              <w14:schemeClr w14:val="tx1"/>
            </w14:solidFill>
          </w14:textFill>
        </w:rPr>
        <w:t>新增“千斤粮、万元钱”特色高效农业面积1.717万亩，现有农民专业合作社544家，其中国家级示范社2家，省级及市级示范社11家。现有家庭农场152家，其中建成省级示范家庭农场9家。新增绿色食品认证2个，涌现出宏望、众客等一批农业特色产品品牌，“清河山楂”获国家地理标志证明商标，并入选河北省特色农产品优势区。</w:t>
      </w:r>
      <w:r>
        <w:rPr>
          <w:rFonts w:hint="eastAsia" w:ascii="仿宋_GB2312" w:hAnsi="仿宋_GB2312" w:eastAsia="仿宋_GB2312" w:cs="仿宋_GB2312"/>
          <w:b/>
          <w:bCs/>
          <w:color w:val="000000" w:themeColor="text1"/>
          <w:sz w:val="28"/>
          <w:szCs w:val="28"/>
          <w14:textFill>
            <w14:solidFill>
              <w14:schemeClr w14:val="tx1"/>
            </w14:solidFill>
          </w14:textFill>
        </w:rPr>
        <w:t>农业机械化全覆盖。</w:t>
      </w:r>
      <w:r>
        <w:rPr>
          <w:rFonts w:hint="eastAsia" w:ascii="仿宋_GB2312" w:hAnsi="仿宋_GB2312" w:eastAsia="仿宋_GB2312" w:cs="仿宋_GB2312"/>
          <w:color w:val="000000" w:themeColor="text1"/>
          <w:sz w:val="28"/>
          <w:szCs w:val="28"/>
          <w14:textFill>
            <w14:solidFill>
              <w14:schemeClr w14:val="tx1"/>
            </w14:solidFill>
          </w14:textFill>
        </w:rPr>
        <w:t>全县实现主要农作物全程机械化，小麦耕种收综合机械化率达到100%，玉米耕种收综合机械化率达到99.76%，被认定为全国第五批率先基本实现主要农作物生产全程机械化示范县。积极加强农产品质量安全监管，被认定为第四批河北省农产品质量安全县。</w:t>
      </w:r>
    </w:p>
    <w:p w14:paraId="498041C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2"/>
        <w:rPr>
          <w:rFonts w:ascii="楷体_GB2312" w:hAnsi="楷体_GB2312" w:eastAsia="楷体_GB2312" w:cs="楷体_GB2312"/>
          <w:b w:val="0"/>
          <w:bCs w:val="0"/>
          <w:color w:val="000000" w:themeColor="text1"/>
          <w:sz w:val="28"/>
          <w:szCs w:val="28"/>
          <w14:textFill>
            <w14:solidFill>
              <w14:schemeClr w14:val="tx1"/>
            </w14:solidFill>
          </w14:textFill>
        </w:rPr>
      </w:pPr>
      <w:bookmarkStart w:id="36" w:name="_Toc30889"/>
      <w:bookmarkStart w:id="37" w:name="_Toc6202"/>
      <w:bookmarkStart w:id="38" w:name="_Toc16596"/>
      <w:bookmarkStart w:id="39" w:name="_Toc11601"/>
      <w:bookmarkStart w:id="40" w:name="_Toc2789"/>
      <w:bookmarkStart w:id="41" w:name="_Toc131"/>
      <w:r>
        <w:rPr>
          <w:rFonts w:hint="eastAsia" w:ascii="楷体_GB2312" w:hAnsi="楷体_GB2312" w:eastAsia="楷体_GB2312" w:cs="楷体_GB2312"/>
          <w:b w:val="0"/>
          <w:bCs w:val="0"/>
          <w:color w:val="000000" w:themeColor="text1"/>
          <w:sz w:val="28"/>
          <w:szCs w:val="28"/>
          <w14:textFill>
            <w14:solidFill>
              <w14:schemeClr w14:val="tx1"/>
            </w14:solidFill>
          </w14:textFill>
        </w:rPr>
        <w:t>（二）工业经济快速发展</w:t>
      </w:r>
      <w:bookmarkEnd w:id="36"/>
      <w:bookmarkEnd w:id="37"/>
      <w:bookmarkEnd w:id="38"/>
      <w:bookmarkEnd w:id="39"/>
      <w:bookmarkEnd w:id="40"/>
      <w:bookmarkEnd w:id="41"/>
    </w:p>
    <w:p w14:paraId="5014ACFB">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产业规模持续提升。</w:t>
      </w:r>
      <w:r>
        <w:rPr>
          <w:rFonts w:hint="eastAsia" w:ascii="仿宋_GB2312" w:hAnsi="仿宋_GB2312" w:eastAsia="仿宋_GB2312" w:cs="仿宋_GB2312"/>
          <w:color w:val="000000" w:themeColor="text1"/>
          <w:sz w:val="28"/>
          <w:szCs w:val="28"/>
          <w14:textFill>
            <w14:solidFill>
              <w14:schemeClr w14:val="tx1"/>
            </w14:solidFill>
          </w14:textFill>
        </w:rPr>
        <w:t>“十三五”期间，全县工业实现企业、项目双增长，新增规模以上工业企业2</w:t>
      </w:r>
      <w:r>
        <w:rPr>
          <w:rFonts w:ascii="仿宋_GB2312" w:hAnsi="仿宋_GB2312" w:eastAsia="仿宋_GB2312" w:cs="仿宋_GB2312"/>
          <w:color w:val="000000" w:themeColor="text1"/>
          <w:sz w:val="28"/>
          <w:szCs w:val="28"/>
          <w14:textFill>
            <w14:solidFill>
              <w14:schemeClr w14:val="tx1"/>
            </w14:solidFill>
          </w14:textFill>
        </w:rPr>
        <w:t>9</w:t>
      </w:r>
      <w:r>
        <w:rPr>
          <w:rFonts w:hint="eastAsia" w:ascii="仿宋_GB2312" w:hAnsi="仿宋_GB2312" w:eastAsia="仿宋_GB2312" w:cs="仿宋_GB2312"/>
          <w:color w:val="000000" w:themeColor="text1"/>
          <w:sz w:val="28"/>
          <w:szCs w:val="28"/>
          <w14:textFill>
            <w14:solidFill>
              <w14:schemeClr w14:val="tx1"/>
            </w14:solidFill>
          </w14:textFill>
        </w:rPr>
        <w:t>家，新增省市重点工业项目</w:t>
      </w:r>
      <w:r>
        <w:rPr>
          <w:rFonts w:ascii="仿宋_GB2312" w:hAnsi="仿宋_GB2312" w:eastAsia="仿宋_GB2312" w:cs="仿宋_GB2312"/>
          <w:color w:val="000000" w:themeColor="text1"/>
          <w:sz w:val="28"/>
          <w:szCs w:val="28"/>
          <w14:textFill>
            <w14:solidFill>
              <w14:schemeClr w14:val="tx1"/>
            </w14:solidFill>
          </w14:textFill>
        </w:rPr>
        <w:t>130</w:t>
      </w:r>
      <w:r>
        <w:rPr>
          <w:rFonts w:hint="eastAsia" w:ascii="仿宋_GB2312" w:hAnsi="仿宋_GB2312" w:eastAsia="仿宋_GB2312" w:cs="仿宋_GB2312"/>
          <w:color w:val="000000" w:themeColor="text1"/>
          <w:sz w:val="28"/>
          <w:szCs w:val="28"/>
          <w14:textFill>
            <w14:solidFill>
              <w14:schemeClr w14:val="tx1"/>
            </w14:solidFill>
          </w14:textFill>
        </w:rPr>
        <w:t>个。工业产值从2015年的220亿元发展到2020年的320亿元，从业人员9万余人。</w:t>
      </w:r>
      <w:r>
        <w:rPr>
          <w:rFonts w:hint="eastAsia" w:ascii="仿宋_GB2312" w:hAnsi="仿宋_GB2312" w:eastAsia="仿宋_GB2312" w:cs="仿宋_GB2312"/>
          <w:b/>
          <w:bCs/>
          <w:color w:val="000000" w:themeColor="text1"/>
          <w:sz w:val="28"/>
          <w:szCs w:val="28"/>
          <w14:textFill>
            <w14:solidFill>
              <w14:schemeClr w14:val="tx1"/>
            </w14:solidFill>
          </w14:textFill>
        </w:rPr>
        <w:t>特色产业发展迅速。</w:t>
      </w:r>
      <w:r>
        <w:rPr>
          <w:rFonts w:hint="eastAsia" w:ascii="仿宋_GB2312" w:hAnsi="仿宋_GB2312" w:eastAsia="仿宋_GB2312" w:cs="仿宋_GB2312"/>
          <w:color w:val="000000" w:themeColor="text1"/>
          <w:sz w:val="28"/>
          <w:szCs w:val="28"/>
          <w14:textFill>
            <w14:solidFill>
              <w14:schemeClr w14:val="tx1"/>
            </w14:solidFill>
          </w14:textFill>
        </w:rPr>
        <w:t>羊绒、汽车及零部件制造、稀有金属及耐火材料等产业规模快速提升，2020年特色产业营业收入达到572.9亿元。羊绒产业被列入河北省智慧集群建设试点，羊绒小镇入选国家发改委“第二批全国典型精品特色小镇”，清河被评为“河北省汽车及零部件产业名县”，经济开发区被中国钨业协会授予“钨资源再生利用试验基地”称号。</w:t>
      </w:r>
      <w:r>
        <w:rPr>
          <w:rFonts w:hint="eastAsia" w:ascii="仿宋_GB2312" w:hAnsi="仿宋_GB2312" w:eastAsia="仿宋_GB2312" w:cs="仿宋_GB2312"/>
          <w:b/>
          <w:bCs/>
          <w:color w:val="000000" w:themeColor="text1"/>
          <w:sz w:val="28"/>
          <w:szCs w:val="28"/>
          <w14:textFill>
            <w14:solidFill>
              <w14:schemeClr w14:val="tx1"/>
            </w14:solidFill>
          </w14:textFill>
        </w:rPr>
        <w:t>企业加速高端发展。</w:t>
      </w:r>
      <w:r>
        <w:rPr>
          <w:rFonts w:hint="eastAsia" w:ascii="仿宋_GB2312" w:hAnsi="仿宋_GB2312" w:eastAsia="仿宋_GB2312" w:cs="仿宋_GB2312"/>
          <w:color w:val="000000" w:themeColor="text1"/>
          <w:sz w:val="28"/>
          <w:szCs w:val="28"/>
          <w14:textFill>
            <w14:solidFill>
              <w14:schemeClr w14:val="tx1"/>
            </w14:solidFill>
          </w14:textFill>
        </w:rPr>
        <w:t>中航上大完成股份制改造，高温合金锻造项目被评为“工业强基工程”，再生利用技术荣获“第四届中国航空创新创业大奖”以及“第五届中国创新挑战赛”第一名优异成绩，宇腾羊绒、河北新欧2家企业入选2020年全省百家优秀民营企业。</w:t>
      </w:r>
      <w:r>
        <w:rPr>
          <w:rFonts w:hint="eastAsia" w:ascii="仿宋_GB2312" w:hAnsi="仿宋_GB2312" w:eastAsia="仿宋_GB2312" w:cs="仿宋_GB2312"/>
          <w:b/>
          <w:bCs/>
          <w:color w:val="000000" w:themeColor="text1"/>
          <w:sz w:val="28"/>
          <w:szCs w:val="28"/>
          <w14:textFill>
            <w14:solidFill>
              <w14:schemeClr w14:val="tx1"/>
            </w14:solidFill>
          </w14:textFill>
        </w:rPr>
        <w:t>品牌建设卓有成效</w:t>
      </w:r>
      <w:r>
        <w:rPr>
          <w:rFonts w:hint="eastAsia" w:ascii="仿宋_GB2312" w:hAnsi="仿宋_GB2312" w:eastAsia="仿宋_GB2312" w:cs="仿宋_GB2312"/>
          <w:color w:val="000000" w:themeColor="text1"/>
          <w:sz w:val="28"/>
          <w:szCs w:val="28"/>
          <w14:textFill>
            <w14:solidFill>
              <w14:schemeClr w14:val="tx1"/>
            </w14:solidFill>
          </w14:textFill>
        </w:rPr>
        <w:t>。以“清河羊绒”“清河滤清器”区域品牌组团参加国内外高端展会，建成羊绒大厦、中国羊线博物馆，定期发布“清河中国羊绒指数”，产业影响力和行业话语权明显增强。坚持以工业设计创品牌、提品质，建成羊绒原创设计展示中心，与潘恰良、林姿含、张伶俐等知名设计师实现深度合作，红太、帕米尔、衣尚等企业的品牌形象和产品附加值显著提升，新增中国驰名商标达9件，衣尚、红太、昭友品牌获河北省十大服装品牌称号。</w:t>
      </w:r>
      <w:r>
        <w:rPr>
          <w:rFonts w:hint="eastAsia" w:ascii="仿宋_GB2312" w:hAnsi="仿宋_GB2312" w:eastAsia="仿宋_GB2312" w:cs="仿宋_GB2312"/>
          <w:b/>
          <w:bCs/>
          <w:color w:val="000000" w:themeColor="text1"/>
          <w:sz w:val="28"/>
          <w:szCs w:val="28"/>
          <w14:textFill>
            <w14:solidFill>
              <w14:schemeClr w14:val="tx1"/>
            </w14:solidFill>
          </w14:textFill>
        </w:rPr>
        <w:t>市场渠道不断拓宽。</w:t>
      </w:r>
      <w:r>
        <w:rPr>
          <w:rFonts w:hint="eastAsia" w:ascii="仿宋_GB2312" w:hAnsi="仿宋_GB2312" w:eastAsia="仿宋_GB2312" w:cs="仿宋_GB2312"/>
          <w:color w:val="000000" w:themeColor="text1"/>
          <w:sz w:val="28"/>
          <w:szCs w:val="28"/>
          <w14:textFill>
            <w14:solidFill>
              <w14:schemeClr w14:val="tx1"/>
            </w14:solidFill>
          </w14:textFill>
        </w:rPr>
        <w:t>全县新增进出口企业459家，总数达745家，2020年实现出口创汇3.4亿美元，是2015年的1.79倍，年均增长15％。线上线下加快融合发展，2020年全县网络零售额突破1</w:t>
      </w:r>
      <w:r>
        <w:rPr>
          <w:rFonts w:ascii="仿宋_GB2312" w:hAnsi="仿宋_GB2312" w:eastAsia="仿宋_GB2312" w:cs="仿宋_GB2312"/>
          <w:color w:val="000000" w:themeColor="text1"/>
          <w:sz w:val="28"/>
          <w:szCs w:val="28"/>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亿元，清河被认定为“全国电子商务进农村综合示范县”，连续五年位居“全国电子商务百佳县”前三甲。</w:t>
      </w:r>
    </w:p>
    <w:p w14:paraId="1021C2C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2"/>
        <w:rPr>
          <w:rFonts w:ascii="楷体_GB2312" w:hAnsi="楷体_GB2312" w:eastAsia="楷体_GB2312" w:cs="楷体_GB2312"/>
          <w:b w:val="0"/>
          <w:bCs w:val="0"/>
          <w:color w:val="000000" w:themeColor="text1"/>
          <w:sz w:val="28"/>
          <w:szCs w:val="28"/>
          <w14:textFill>
            <w14:solidFill>
              <w14:schemeClr w14:val="tx1"/>
            </w14:solidFill>
          </w14:textFill>
        </w:rPr>
      </w:pPr>
      <w:bookmarkStart w:id="42" w:name="_Toc29898"/>
      <w:bookmarkStart w:id="43" w:name="_Toc20874"/>
      <w:bookmarkStart w:id="44" w:name="_Toc18684"/>
      <w:bookmarkStart w:id="45" w:name="_Toc17961"/>
      <w:bookmarkStart w:id="46" w:name="_Toc1397"/>
      <w:bookmarkStart w:id="47" w:name="_Toc743"/>
      <w:bookmarkStart w:id="48" w:name="_Toc31795"/>
      <w:bookmarkStart w:id="49" w:name="_Toc17746"/>
      <w:bookmarkStart w:id="50" w:name="_Toc3309"/>
      <w:r>
        <w:rPr>
          <w:rFonts w:hint="eastAsia" w:ascii="楷体_GB2312" w:hAnsi="楷体_GB2312" w:eastAsia="楷体_GB2312" w:cs="楷体_GB2312"/>
          <w:b w:val="0"/>
          <w:bCs w:val="0"/>
          <w:color w:val="000000" w:themeColor="text1"/>
          <w:sz w:val="28"/>
          <w:szCs w:val="28"/>
          <w14:textFill>
            <w14:solidFill>
              <w14:schemeClr w14:val="tx1"/>
            </w14:solidFill>
          </w14:textFill>
        </w:rPr>
        <w:t>（三）服务业发展日趋活跃</w:t>
      </w:r>
      <w:bookmarkEnd w:id="42"/>
      <w:bookmarkEnd w:id="43"/>
      <w:bookmarkEnd w:id="44"/>
      <w:bookmarkEnd w:id="45"/>
      <w:bookmarkEnd w:id="46"/>
      <w:bookmarkEnd w:id="47"/>
      <w:bookmarkEnd w:id="48"/>
      <w:bookmarkEnd w:id="49"/>
      <w:bookmarkEnd w:id="50"/>
    </w:p>
    <w:p w14:paraId="05A0AF3A">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ascii="仿宋_GB2312" w:hAnsi="仿宋_GB2312" w:eastAsia="仿宋_GB2312" w:cs="仿宋_GB2312"/>
          <w:color w:val="000000" w:themeColor="text1"/>
          <w:kern w:val="2"/>
          <w:sz w:val="28"/>
          <w:szCs w:val="28"/>
          <w14:textFill>
            <w14:solidFill>
              <w14:schemeClr w14:val="tx1"/>
            </w14:solidFill>
          </w14:textFill>
        </w:rPr>
      </w:pPr>
      <w:r>
        <w:rPr>
          <w:rFonts w:hint="eastAsia" w:ascii="仿宋_GB2312" w:hAnsi="仿宋_GB2312" w:eastAsia="仿宋_GB2312" w:cs="仿宋_GB2312"/>
          <w:color w:val="000000" w:themeColor="text1"/>
          <w:kern w:val="2"/>
          <w:sz w:val="28"/>
          <w:szCs w:val="28"/>
          <w14:textFill>
            <w14:solidFill>
              <w14:schemeClr w14:val="tx1"/>
            </w14:solidFill>
          </w14:textFill>
        </w:rPr>
        <w:t>2020年完成服务业增加值</w:t>
      </w:r>
      <w:r>
        <w:rPr>
          <w:rFonts w:ascii="仿宋_GB2312" w:hAnsi="仿宋_GB2312" w:eastAsia="仿宋_GB2312" w:cs="仿宋_GB2312"/>
          <w:color w:val="000000" w:themeColor="text1"/>
          <w:kern w:val="2"/>
          <w:sz w:val="28"/>
          <w:szCs w:val="28"/>
          <w14:textFill>
            <w14:solidFill>
              <w14:schemeClr w14:val="tx1"/>
            </w14:solidFill>
          </w14:textFill>
        </w:rPr>
        <w:t>80</w:t>
      </w:r>
      <w:r>
        <w:rPr>
          <w:rFonts w:hint="eastAsia" w:ascii="仿宋_GB2312" w:hAnsi="仿宋_GB2312" w:eastAsia="仿宋_GB2312" w:cs="仿宋_GB2312"/>
          <w:color w:val="000000" w:themeColor="text1"/>
          <w:kern w:val="2"/>
          <w:sz w:val="28"/>
          <w:szCs w:val="28"/>
          <w14:textFill>
            <w14:solidFill>
              <w14:schemeClr w14:val="tx1"/>
            </w14:solidFill>
          </w14:textFill>
        </w:rPr>
        <w:t>亿元，占GDP的比重达到</w:t>
      </w:r>
      <w:r>
        <w:rPr>
          <w:rFonts w:ascii="仿宋_GB2312" w:hAnsi="仿宋_GB2312" w:eastAsia="仿宋_GB2312" w:cs="仿宋_GB2312"/>
          <w:color w:val="000000" w:themeColor="text1"/>
          <w:kern w:val="2"/>
          <w:sz w:val="28"/>
          <w:szCs w:val="28"/>
          <w14:textFill>
            <w14:solidFill>
              <w14:schemeClr w14:val="tx1"/>
            </w14:solidFill>
          </w14:textFill>
        </w:rPr>
        <w:t>54.2</w:t>
      </w:r>
      <w:r>
        <w:rPr>
          <w:rFonts w:hint="eastAsia" w:ascii="仿宋_GB2312" w:hAnsi="仿宋_GB2312" w:eastAsia="仿宋_GB2312" w:cs="仿宋_GB2312"/>
          <w:color w:val="000000" w:themeColor="text1"/>
          <w:kern w:val="2"/>
          <w:sz w:val="28"/>
          <w:szCs w:val="28"/>
          <w14:textFill>
            <w14:solidFill>
              <w14:schemeClr w14:val="tx1"/>
            </w14:solidFill>
          </w14:textFill>
        </w:rPr>
        <w:t>%，“十三五”期间服务业增加值年均增长</w:t>
      </w:r>
      <w:r>
        <w:rPr>
          <w:rFonts w:ascii="仿宋_GB2312" w:hAnsi="仿宋_GB2312" w:eastAsia="仿宋_GB2312" w:cs="仿宋_GB2312"/>
          <w:color w:val="000000" w:themeColor="text1"/>
          <w:kern w:val="2"/>
          <w:sz w:val="28"/>
          <w:szCs w:val="28"/>
          <w14:textFill>
            <w14:solidFill>
              <w14:schemeClr w14:val="tx1"/>
            </w14:solidFill>
          </w14:textFill>
        </w:rPr>
        <w:t>8.7</w:t>
      </w:r>
      <w:r>
        <w:rPr>
          <w:rFonts w:hint="eastAsia" w:ascii="仿宋_GB2312" w:hAnsi="仿宋_GB2312" w:eastAsia="仿宋_GB2312" w:cs="仿宋_GB2312"/>
          <w:color w:val="000000" w:themeColor="text1"/>
          <w:kern w:val="2"/>
          <w:sz w:val="28"/>
          <w:szCs w:val="28"/>
          <w14:textFill>
            <w14:solidFill>
              <w14:schemeClr w14:val="tx1"/>
            </w14:solidFill>
          </w14:textFill>
        </w:rPr>
        <w:t>%。</w:t>
      </w:r>
      <w:r>
        <w:rPr>
          <w:rFonts w:hint="eastAsia" w:ascii="仿宋_GB2312" w:hAnsi="仿宋_GB2312" w:eastAsia="仿宋_GB2312" w:cs="仿宋_GB2312"/>
          <w:b/>
          <w:bCs/>
          <w:color w:val="000000" w:themeColor="text1"/>
          <w:sz w:val="28"/>
          <w:szCs w:val="28"/>
          <w14:textFill>
            <w14:solidFill>
              <w14:schemeClr w14:val="tx1"/>
            </w14:solidFill>
          </w14:textFill>
        </w:rPr>
        <w:t>电子商务扩张迅速</w:t>
      </w:r>
      <w:r>
        <w:rPr>
          <w:rFonts w:hint="eastAsia" w:ascii="仿宋_GB2312" w:hAnsi="仿宋_GB2312" w:eastAsia="仿宋_GB2312" w:cs="仿宋_GB2312"/>
          <w:color w:val="000000" w:themeColor="text1"/>
          <w:kern w:val="2"/>
          <w:sz w:val="28"/>
          <w:szCs w:val="28"/>
          <w14:textFill>
            <w14:solidFill>
              <w14:schemeClr w14:val="tx1"/>
            </w14:solidFill>
          </w14:textFill>
        </w:rPr>
        <w:t>。清河现有电子商务企业3</w:t>
      </w:r>
      <w:r>
        <w:rPr>
          <w:rFonts w:ascii="仿宋_GB2312" w:hAnsi="仿宋_GB2312" w:eastAsia="仿宋_GB2312" w:cs="仿宋_GB2312"/>
          <w:color w:val="000000" w:themeColor="text1"/>
          <w:kern w:val="2"/>
          <w:sz w:val="28"/>
          <w:szCs w:val="28"/>
          <w14:textFill>
            <w14:solidFill>
              <w14:schemeClr w14:val="tx1"/>
            </w14:solidFill>
          </w14:textFill>
        </w:rPr>
        <w:t>5000</w:t>
      </w:r>
      <w:r>
        <w:rPr>
          <w:rFonts w:hint="eastAsia" w:ascii="仿宋_GB2312" w:hAnsi="仿宋_GB2312" w:eastAsia="仿宋_GB2312" w:cs="仿宋_GB2312"/>
          <w:color w:val="000000" w:themeColor="text1"/>
          <w:kern w:val="2"/>
          <w:sz w:val="28"/>
          <w:szCs w:val="28"/>
          <w14:textFill>
            <w14:solidFill>
              <w14:schemeClr w14:val="tx1"/>
            </w14:solidFill>
          </w14:textFill>
        </w:rPr>
        <w:t>余家，其中注册资本金500万元以上电商企业48家，月销售规模100万元以上企业600家，线上企业网络零售额年均增速15%以上。我县被评为国家级“电子商务示范基地”“中国电商示范百佳县”。</w:t>
      </w:r>
      <w:r>
        <w:rPr>
          <w:rFonts w:hint="eastAsia" w:ascii="仿宋_GB2312" w:hAnsi="仿宋_GB2312" w:eastAsia="仿宋_GB2312" w:cs="仿宋_GB2312"/>
          <w:b/>
          <w:bCs/>
          <w:color w:val="000000" w:themeColor="text1"/>
          <w:sz w:val="28"/>
          <w:szCs w:val="28"/>
          <w14:textFill>
            <w14:solidFill>
              <w14:schemeClr w14:val="tx1"/>
            </w14:solidFill>
          </w14:textFill>
        </w:rPr>
        <w:t>现代物流日益壮大</w:t>
      </w:r>
      <w:r>
        <w:rPr>
          <w:rFonts w:hint="eastAsia" w:ascii="仿宋_GB2312" w:hAnsi="仿宋_GB2312" w:eastAsia="仿宋_GB2312" w:cs="仿宋_GB2312"/>
          <w:color w:val="000000" w:themeColor="text1"/>
          <w:kern w:val="2"/>
          <w:sz w:val="28"/>
          <w:szCs w:val="28"/>
          <w14:textFill>
            <w14:solidFill>
              <w14:schemeClr w14:val="tx1"/>
            </w14:solidFill>
          </w14:textFill>
        </w:rPr>
        <w:t>。</w:t>
      </w:r>
      <w:bookmarkStart w:id="51" w:name="_Hlk63337706"/>
      <w:r>
        <w:rPr>
          <w:rFonts w:hint="eastAsia" w:ascii="仿宋_GB2312" w:hAnsi="仿宋_GB2312" w:eastAsia="仿宋_GB2312" w:cs="仿宋_GB2312"/>
          <w:color w:val="000000" w:themeColor="text1"/>
          <w:kern w:val="2"/>
          <w:sz w:val="28"/>
          <w:szCs w:val="28"/>
          <w14:textFill>
            <w14:solidFill>
              <w14:schemeClr w14:val="tx1"/>
            </w14:solidFill>
          </w14:textFill>
        </w:rPr>
        <w:t>全县货运车辆保有量</w:t>
      </w:r>
      <w:r>
        <w:rPr>
          <w:rFonts w:ascii="仿宋_GB2312" w:hAnsi="仿宋_GB2312" w:eastAsia="仿宋_GB2312" w:cs="仿宋_GB2312"/>
          <w:color w:val="000000" w:themeColor="text1"/>
          <w:kern w:val="2"/>
          <w:sz w:val="28"/>
          <w:szCs w:val="28"/>
          <w14:textFill>
            <w14:solidFill>
              <w14:schemeClr w14:val="tx1"/>
            </w14:solidFill>
          </w14:textFill>
        </w:rPr>
        <w:t>1133</w:t>
      </w:r>
      <w:r>
        <w:rPr>
          <w:rFonts w:hint="eastAsia" w:ascii="仿宋_GB2312" w:hAnsi="仿宋_GB2312" w:eastAsia="仿宋_GB2312" w:cs="仿宋_GB2312"/>
          <w:color w:val="000000" w:themeColor="text1"/>
          <w:kern w:val="2"/>
          <w:sz w:val="28"/>
          <w:szCs w:val="28"/>
          <w14:textFill>
            <w14:solidFill>
              <w14:schemeClr w14:val="tx1"/>
            </w14:solidFill>
          </w14:textFill>
        </w:rPr>
        <w:t>辆，2</w:t>
      </w:r>
      <w:r>
        <w:rPr>
          <w:rFonts w:ascii="仿宋_GB2312" w:hAnsi="仿宋_GB2312" w:eastAsia="仿宋_GB2312" w:cs="仿宋_GB2312"/>
          <w:color w:val="000000" w:themeColor="text1"/>
          <w:kern w:val="2"/>
          <w:sz w:val="28"/>
          <w:szCs w:val="28"/>
          <w14:textFill>
            <w14:solidFill>
              <w14:schemeClr w14:val="tx1"/>
            </w14:solidFill>
          </w14:textFill>
        </w:rPr>
        <w:t>020</w:t>
      </w:r>
      <w:r>
        <w:rPr>
          <w:rFonts w:hint="eastAsia" w:ascii="仿宋_GB2312" w:hAnsi="仿宋_GB2312" w:eastAsia="仿宋_GB2312" w:cs="仿宋_GB2312"/>
          <w:color w:val="000000" w:themeColor="text1"/>
          <w:kern w:val="2"/>
          <w:sz w:val="28"/>
          <w:szCs w:val="28"/>
          <w14:textFill>
            <w14:solidFill>
              <w14:schemeClr w14:val="tx1"/>
            </w14:solidFill>
          </w14:textFill>
        </w:rPr>
        <w:t>年实现周转货物</w:t>
      </w:r>
      <w:r>
        <w:rPr>
          <w:rFonts w:ascii="仿宋_GB2312" w:hAnsi="仿宋_GB2312" w:eastAsia="仿宋_GB2312" w:cs="仿宋_GB2312"/>
          <w:color w:val="000000" w:themeColor="text1"/>
          <w:kern w:val="2"/>
          <w:sz w:val="28"/>
          <w:szCs w:val="28"/>
          <w14:textFill>
            <w14:solidFill>
              <w14:schemeClr w14:val="tx1"/>
            </w14:solidFill>
          </w14:textFill>
        </w:rPr>
        <w:t>179</w:t>
      </w:r>
      <w:r>
        <w:rPr>
          <w:rFonts w:hint="eastAsia" w:ascii="仿宋_GB2312" w:hAnsi="仿宋_GB2312" w:eastAsia="仿宋_GB2312" w:cs="仿宋_GB2312"/>
          <w:color w:val="000000" w:themeColor="text1"/>
          <w:kern w:val="2"/>
          <w:sz w:val="28"/>
          <w:szCs w:val="28"/>
          <w14:textFill>
            <w14:solidFill>
              <w14:schemeClr w14:val="tx1"/>
            </w14:solidFill>
          </w14:textFill>
        </w:rPr>
        <w:t>亿吨公里。</w:t>
      </w:r>
      <w:bookmarkEnd w:id="51"/>
      <w:r>
        <w:rPr>
          <w:rFonts w:hint="eastAsia" w:ascii="仿宋_GB2312" w:hAnsi="仿宋_GB2312" w:eastAsia="仿宋_GB2312" w:cs="仿宋_GB2312"/>
          <w:color w:val="000000" w:themeColor="text1"/>
          <w:kern w:val="2"/>
          <w:sz w:val="28"/>
          <w:szCs w:val="28"/>
          <w14:textFill>
            <w14:solidFill>
              <w14:schemeClr w14:val="tx1"/>
            </w14:solidFill>
          </w14:textFill>
        </w:rPr>
        <w:t>培育形成“快递+羊绒制品”“快递+汽车零部件”两个业务量超千万件金牌项目，拉动网络零售额80亿元，我县被评为“中国快递服务五十佳县”。</w:t>
      </w:r>
      <w:r>
        <w:rPr>
          <w:rFonts w:hint="eastAsia" w:ascii="仿宋_GB2312" w:hAnsi="仿宋_GB2312" w:eastAsia="仿宋_GB2312" w:cs="仿宋_GB2312"/>
          <w:b/>
          <w:bCs/>
          <w:color w:val="000000" w:themeColor="text1"/>
          <w:sz w:val="28"/>
          <w:szCs w:val="28"/>
          <w14:textFill>
            <w14:solidFill>
              <w14:schemeClr w14:val="tx1"/>
            </w14:solidFill>
          </w14:textFill>
        </w:rPr>
        <w:t>文化旅游产业稳步推进</w:t>
      </w:r>
      <w:r>
        <w:rPr>
          <w:rFonts w:hint="eastAsia" w:ascii="仿宋_GB2312" w:hAnsi="仿宋_GB2312" w:eastAsia="仿宋_GB2312" w:cs="仿宋_GB2312"/>
          <w:color w:val="000000" w:themeColor="text1"/>
          <w:kern w:val="2"/>
          <w:sz w:val="28"/>
          <w:szCs w:val="28"/>
          <w14:textFill>
            <w14:solidFill>
              <w14:schemeClr w14:val="tx1"/>
            </w14:solidFill>
          </w14:textFill>
        </w:rPr>
        <w:t>。张氏祭祖节、山楂花节、山楂采摘节、中国大运河武术文化联盟武术交流赛、羊绒小镇产业游等特色文化旅游活动成效显著，</w:t>
      </w:r>
      <w:bookmarkStart w:id="52" w:name="_Hlk63337548"/>
      <w:r>
        <w:rPr>
          <w:rFonts w:hint="eastAsia" w:ascii="仿宋_GB2312" w:hAnsi="仿宋_GB2312" w:eastAsia="仿宋_GB2312" w:cs="仿宋_GB2312"/>
          <w:color w:val="000000" w:themeColor="text1"/>
          <w:kern w:val="2"/>
          <w:sz w:val="28"/>
          <w:szCs w:val="28"/>
          <w14:textFill>
            <w14:solidFill>
              <w14:schemeClr w14:val="tx1"/>
            </w14:solidFill>
          </w14:textFill>
        </w:rPr>
        <w:t>近三年累计接待游客</w:t>
      </w:r>
      <w:r>
        <w:rPr>
          <w:rFonts w:ascii="仿宋_GB2312" w:hAnsi="仿宋_GB2312" w:eastAsia="仿宋_GB2312" w:cs="仿宋_GB2312"/>
          <w:color w:val="000000" w:themeColor="text1"/>
          <w:kern w:val="2"/>
          <w:sz w:val="28"/>
          <w:szCs w:val="28"/>
          <w14:textFill>
            <w14:solidFill>
              <w14:schemeClr w14:val="tx1"/>
            </w14:solidFill>
          </w14:textFill>
        </w:rPr>
        <w:t>376.6</w:t>
      </w:r>
      <w:r>
        <w:rPr>
          <w:rFonts w:hint="eastAsia" w:ascii="仿宋_GB2312" w:hAnsi="仿宋_GB2312" w:eastAsia="仿宋_GB2312" w:cs="仿宋_GB2312"/>
          <w:color w:val="000000" w:themeColor="text1"/>
          <w:kern w:val="2"/>
          <w:sz w:val="28"/>
          <w:szCs w:val="28"/>
          <w14:textFill>
            <w14:solidFill>
              <w14:schemeClr w14:val="tx1"/>
            </w14:solidFill>
          </w14:textFill>
        </w:rPr>
        <w:t>万人次，实现旅游收入</w:t>
      </w:r>
      <w:r>
        <w:rPr>
          <w:rFonts w:ascii="仿宋_GB2312" w:hAnsi="仿宋_GB2312" w:eastAsia="仿宋_GB2312" w:cs="仿宋_GB2312"/>
          <w:color w:val="000000" w:themeColor="text1"/>
          <w:kern w:val="2"/>
          <w:sz w:val="28"/>
          <w:szCs w:val="28"/>
          <w14:textFill>
            <w14:solidFill>
              <w14:schemeClr w14:val="tx1"/>
            </w14:solidFill>
          </w14:textFill>
        </w:rPr>
        <w:t>119.6</w:t>
      </w:r>
      <w:r>
        <w:rPr>
          <w:rFonts w:hint="eastAsia" w:ascii="仿宋_GB2312" w:hAnsi="仿宋_GB2312" w:eastAsia="仿宋_GB2312" w:cs="仿宋_GB2312"/>
          <w:color w:val="000000" w:themeColor="text1"/>
          <w:kern w:val="2"/>
          <w:sz w:val="28"/>
          <w:szCs w:val="28"/>
          <w14:textFill>
            <w14:solidFill>
              <w14:schemeClr w14:val="tx1"/>
            </w14:solidFill>
          </w14:textFill>
        </w:rPr>
        <w:t>亿元。</w:t>
      </w:r>
      <w:bookmarkEnd w:id="52"/>
      <w:r>
        <w:rPr>
          <w:rFonts w:hint="eastAsia" w:ascii="仿宋_GB2312" w:hAnsi="仿宋_GB2312" w:eastAsia="仿宋_GB2312" w:cs="仿宋_GB2312"/>
          <w:b/>
          <w:bCs/>
          <w:color w:val="000000" w:themeColor="text1"/>
          <w:sz w:val="28"/>
          <w:szCs w:val="28"/>
          <w14:textFill>
            <w14:solidFill>
              <w14:schemeClr w14:val="tx1"/>
            </w14:solidFill>
          </w14:textFill>
        </w:rPr>
        <w:t>商贸、金融繁荣发展</w:t>
      </w:r>
      <w:r>
        <w:rPr>
          <w:rFonts w:hint="eastAsia" w:ascii="仿宋_GB2312" w:hAnsi="仿宋_GB2312" w:eastAsia="仿宋_GB2312" w:cs="仿宋_GB2312"/>
          <w:color w:val="000000" w:themeColor="text1"/>
          <w:kern w:val="2"/>
          <w:sz w:val="28"/>
          <w:szCs w:val="28"/>
          <w14:textFill>
            <w14:solidFill>
              <w14:schemeClr w14:val="tx1"/>
            </w14:solidFill>
          </w14:textFill>
        </w:rPr>
        <w:t>。到2</w:t>
      </w:r>
      <w:r>
        <w:rPr>
          <w:rFonts w:ascii="仿宋_GB2312" w:hAnsi="仿宋_GB2312" w:eastAsia="仿宋_GB2312" w:cs="仿宋_GB2312"/>
          <w:color w:val="000000" w:themeColor="text1"/>
          <w:kern w:val="2"/>
          <w:sz w:val="28"/>
          <w:szCs w:val="28"/>
          <w14:textFill>
            <w14:solidFill>
              <w14:schemeClr w14:val="tx1"/>
            </w14:solidFill>
          </w14:textFill>
        </w:rPr>
        <w:t>020</w:t>
      </w:r>
      <w:r>
        <w:rPr>
          <w:rFonts w:hint="eastAsia" w:ascii="仿宋_GB2312" w:hAnsi="仿宋_GB2312" w:eastAsia="仿宋_GB2312" w:cs="仿宋_GB2312"/>
          <w:color w:val="000000" w:themeColor="text1"/>
          <w:kern w:val="2"/>
          <w:sz w:val="28"/>
          <w:szCs w:val="28"/>
          <w14:textFill>
            <w14:solidFill>
              <w14:schemeClr w14:val="tx1"/>
            </w14:solidFill>
          </w14:textFill>
        </w:rPr>
        <w:t>年，全县限额以上零售企业达35家，麦当劳等知名企业的入驻为我县经济注入了新的活力，全县</w:t>
      </w:r>
      <w:r>
        <w:rPr>
          <w:rFonts w:hint="eastAsia" w:ascii="仿宋_GB2312" w:hAnsi="仿宋_GB2312" w:eastAsia="仿宋_GB2312" w:cs="仿宋_GB2312"/>
          <w:color w:val="000000" w:themeColor="text1"/>
          <w:sz w:val="28"/>
          <w:szCs w:val="28"/>
          <w14:textFill>
            <w14:solidFill>
              <w14:schemeClr w14:val="tx1"/>
            </w14:solidFill>
          </w14:textFill>
        </w:rPr>
        <w:t>社会消费品零售总额实现年均增长7.3%。到</w:t>
      </w:r>
      <w:r>
        <w:rPr>
          <w:rFonts w:hint="eastAsia" w:ascii="仿宋_GB2312" w:hAnsi="仿宋_GB2312" w:eastAsia="仿宋_GB2312" w:cs="仿宋_GB2312"/>
          <w:color w:val="000000" w:themeColor="text1"/>
          <w:kern w:val="2"/>
          <w:sz w:val="28"/>
          <w:szCs w:val="28"/>
          <w14:textFill>
            <w14:solidFill>
              <w14:schemeClr w14:val="tx1"/>
            </w14:solidFill>
          </w14:textFill>
        </w:rPr>
        <w:t>“十三五”末，驻县金融机构达到13家，成为全市乃至全省金融机构最健全的县（市）之一。</w:t>
      </w:r>
    </w:p>
    <w:p w14:paraId="1859AA68">
      <w:pPr>
        <w:pStyle w:val="5"/>
        <w:keepNext w:val="0"/>
        <w:keepLines w:val="0"/>
        <w:pageBreakBefore w:val="0"/>
        <w:widowControl w:val="0"/>
        <w:kinsoku/>
        <w:wordWrap/>
        <w:overflowPunct/>
        <w:topLinePunct w:val="0"/>
        <w:autoSpaceDE/>
        <w:autoSpaceDN/>
        <w:bidi w:val="0"/>
        <w:adjustRightInd/>
        <w:snapToGrid/>
        <w:spacing w:before="0" w:after="0" w:line="560" w:lineRule="exact"/>
        <w:ind w:firstLine="560" w:firstLineChars="200"/>
        <w:textAlignment w:val="auto"/>
        <w:rPr>
          <w:rFonts w:ascii="黑体" w:hAnsi="黑体" w:eastAsia="黑体"/>
          <w:b w:val="0"/>
          <w:bCs w:val="0"/>
          <w:color w:val="000000" w:themeColor="text1"/>
          <w:sz w:val="28"/>
          <w:szCs w:val="28"/>
          <w14:textFill>
            <w14:solidFill>
              <w14:schemeClr w14:val="tx1"/>
            </w14:solidFill>
          </w14:textFill>
        </w:rPr>
      </w:pPr>
      <w:bookmarkStart w:id="53" w:name="_Toc6702"/>
      <w:bookmarkStart w:id="54" w:name="_Toc13948"/>
      <w:bookmarkStart w:id="55" w:name="_Toc23263"/>
      <w:r>
        <w:rPr>
          <w:rFonts w:hint="eastAsia" w:ascii="黑体" w:hAnsi="黑体" w:eastAsia="黑体"/>
          <w:b w:val="0"/>
          <w:bCs w:val="0"/>
          <w:color w:val="000000" w:themeColor="text1"/>
          <w:sz w:val="28"/>
          <w:szCs w:val="28"/>
          <w14:textFill>
            <w14:solidFill>
              <w14:schemeClr w14:val="tx1"/>
            </w14:solidFill>
          </w14:textFill>
        </w:rPr>
        <w:t>三、招商选资成效显著，项目建设持续推进</w:t>
      </w:r>
      <w:bookmarkEnd w:id="53"/>
      <w:bookmarkEnd w:id="54"/>
      <w:bookmarkEnd w:id="55"/>
    </w:p>
    <w:p w14:paraId="5F71FDF4">
      <w:pPr>
        <w:pStyle w:val="2"/>
        <w:keepNext w:val="0"/>
        <w:keepLines w:val="0"/>
        <w:pageBreakBefore w:val="0"/>
        <w:widowControl w:val="0"/>
        <w:kinsoku/>
        <w:wordWrap/>
        <w:overflowPunct/>
        <w:topLinePunct w:val="0"/>
        <w:autoSpaceDE/>
        <w:autoSpaceDN/>
        <w:bidi w:val="0"/>
        <w:adjustRightInd/>
        <w:snapToGrid/>
        <w:spacing w:after="0" w:line="560" w:lineRule="exact"/>
        <w:ind w:firstLine="562" w:firstLineChars="200"/>
        <w:textAlignment w:val="auto"/>
        <w:rPr>
          <w:rFonts w:hAnsi="仿宋_GB2312"/>
          <w:color w:val="000000" w:themeColor="text1"/>
          <w:sz w:val="28"/>
          <w:szCs w:val="28"/>
          <w14:textFill>
            <w14:solidFill>
              <w14:schemeClr w14:val="tx1"/>
            </w14:solidFill>
          </w14:textFill>
        </w:rPr>
      </w:pPr>
      <w:r>
        <w:rPr>
          <w:rFonts w:hint="eastAsia" w:hAnsi="仿宋_GB2312"/>
          <w:b/>
          <w:color w:val="000000" w:themeColor="text1"/>
          <w:sz w:val="28"/>
          <w:szCs w:val="28"/>
          <w14:textFill>
            <w14:solidFill>
              <w14:schemeClr w14:val="tx1"/>
            </w14:solidFill>
          </w14:textFill>
        </w:rPr>
        <w:t>招商选资工作成效显著。</w:t>
      </w:r>
      <w:r>
        <w:rPr>
          <w:rFonts w:hint="eastAsia" w:hAnsi="仿宋_GB2312"/>
          <w:color w:val="000000" w:themeColor="text1"/>
          <w:sz w:val="28"/>
          <w:szCs w:val="28"/>
          <w14:textFill>
            <w14:solidFill>
              <w14:schemeClr w14:val="tx1"/>
            </w14:solidFill>
          </w14:textFill>
        </w:rPr>
        <w:t>全县始终把招商作为拉动经济增长的主引擎，以项目论英雄，先后出台实施《招商新政60条》《清河崇商亲商富商安商“十条”》等一系列招商政策。“十三五”期间，我县共签约项目140个，协议总投资超450亿元，其中10亿元以上项目16个。中航上大循环工业园、香港南旋针织智慧城等一批优质项目落户清河县，招商选资工作连续多年位居全市前列。</w:t>
      </w:r>
      <w:r>
        <w:rPr>
          <w:rFonts w:hint="eastAsia" w:hAnsi="仿宋_GB2312"/>
          <w:b/>
          <w:color w:val="000000" w:themeColor="text1"/>
          <w:sz w:val="28"/>
          <w:szCs w:val="28"/>
          <w14:textFill>
            <w14:solidFill>
              <w14:schemeClr w14:val="tx1"/>
            </w14:solidFill>
          </w14:textFill>
        </w:rPr>
        <w:t>项目建设快速发展。</w:t>
      </w:r>
      <w:r>
        <w:rPr>
          <w:rFonts w:hint="eastAsia" w:hAnsi="仿宋_GB2312"/>
          <w:color w:val="000000" w:themeColor="text1"/>
          <w:sz w:val="28"/>
          <w:szCs w:val="28"/>
          <w14:textFill>
            <w14:solidFill>
              <w14:schemeClr w14:val="tx1"/>
            </w14:solidFill>
          </w14:textFill>
        </w:rPr>
        <w:t>“十三五”期间，全县新上亿元以上重点产业类项目100余个，涵盖了传统产业、高端装备制造业、战略新兴业等各项领域，争列省市重点项目88个，连年位居全市前列。河北宇腾羊绒制品有限公司意大利纺织工艺羊绒生产线、河北力派汽车零部件有限公司汽车刹车片、中优粮食品项目等一大批高质量项目竣工投产。</w:t>
      </w:r>
      <w:r>
        <w:rPr>
          <w:rFonts w:hint="eastAsia" w:hAnsi="仿宋_GB2312"/>
          <w:b/>
          <w:bCs/>
          <w:color w:val="000000" w:themeColor="text1"/>
          <w:sz w:val="28"/>
          <w:szCs w:val="28"/>
          <w14:textFill>
            <w14:solidFill>
              <w14:schemeClr w14:val="tx1"/>
            </w14:solidFill>
          </w14:textFill>
        </w:rPr>
        <w:t>平台承载显著增强。</w:t>
      </w:r>
      <w:r>
        <w:rPr>
          <w:rFonts w:hint="eastAsia" w:hAnsi="仿宋_GB2312"/>
          <w:color w:val="000000" w:themeColor="text1"/>
          <w:sz w:val="28"/>
          <w:szCs w:val="28"/>
          <w14:textFill>
            <w14:solidFill>
              <w14:schemeClr w14:val="tx1"/>
            </w14:solidFill>
          </w14:textFill>
        </w:rPr>
        <w:t>经济开发区累计投资达16亿元以上，不断完善水、电、路、气等基础设施，园区承载力明显提升，先后荣获“中国投资营商环境最优园区”“国家绿色园区”“全国改革创新示范区”“河北省开放发展十佳开发区”等称号，是唯一入围京津冀“2+4+46”协同创新平台的县域省级开发区。羊绒小镇功能不断健全，先后被评为“国家级创意设计示范园区”“中国商品交易百强市场”“全国特色小镇典型经验样本”，被列入全省重点创建的30个特色小镇之一。</w:t>
      </w:r>
    </w:p>
    <w:p w14:paraId="28E37503">
      <w:pPr>
        <w:pStyle w:val="5"/>
        <w:keepNext w:val="0"/>
        <w:keepLines w:val="0"/>
        <w:pageBreakBefore w:val="0"/>
        <w:widowControl w:val="0"/>
        <w:kinsoku/>
        <w:wordWrap/>
        <w:overflowPunct/>
        <w:topLinePunct w:val="0"/>
        <w:autoSpaceDE/>
        <w:autoSpaceDN/>
        <w:bidi w:val="0"/>
        <w:adjustRightInd/>
        <w:snapToGrid/>
        <w:spacing w:before="0" w:after="0" w:line="560" w:lineRule="exact"/>
        <w:ind w:firstLine="560" w:firstLineChars="200"/>
        <w:textAlignment w:val="auto"/>
        <w:rPr>
          <w:rFonts w:ascii="黑体" w:hAnsi="黑体" w:eastAsia="黑体"/>
          <w:b w:val="0"/>
          <w:bCs w:val="0"/>
          <w:color w:val="000000" w:themeColor="text1"/>
          <w:sz w:val="28"/>
          <w:szCs w:val="28"/>
          <w14:textFill>
            <w14:solidFill>
              <w14:schemeClr w14:val="tx1"/>
            </w14:solidFill>
          </w14:textFill>
        </w:rPr>
      </w:pPr>
      <w:bookmarkStart w:id="56" w:name="_Toc21765"/>
      <w:bookmarkStart w:id="57" w:name="_Toc6787"/>
      <w:r>
        <w:rPr>
          <w:rFonts w:hint="eastAsia" w:ascii="黑体" w:hAnsi="黑体" w:eastAsia="黑体"/>
          <w:b w:val="0"/>
          <w:bCs w:val="0"/>
          <w:color w:val="000000" w:themeColor="text1"/>
          <w:sz w:val="28"/>
          <w:szCs w:val="28"/>
          <w14:textFill>
            <w14:solidFill>
              <w14:schemeClr w14:val="tx1"/>
            </w14:solidFill>
          </w14:textFill>
        </w:rPr>
        <w:t>四、创新能力稳步提升，发展活力持续释放</w:t>
      </w:r>
      <w:bookmarkEnd w:id="56"/>
      <w:bookmarkEnd w:id="57"/>
    </w:p>
    <w:p w14:paraId="3D9F1314">
      <w:pPr>
        <w:pStyle w:val="2"/>
        <w:keepNext w:val="0"/>
        <w:keepLines w:val="0"/>
        <w:pageBreakBefore w:val="0"/>
        <w:widowControl w:val="0"/>
        <w:kinsoku/>
        <w:wordWrap/>
        <w:overflowPunct/>
        <w:topLinePunct w:val="0"/>
        <w:autoSpaceDE/>
        <w:autoSpaceDN/>
        <w:bidi w:val="0"/>
        <w:adjustRightInd/>
        <w:snapToGrid/>
        <w:spacing w:after="0" w:line="560" w:lineRule="exact"/>
        <w:ind w:firstLine="562" w:firstLineChars="200"/>
        <w:textAlignment w:val="auto"/>
        <w:rPr>
          <w:rFonts w:ascii="Times New Roman" w:hAnsi="Times New Roman" w:cs="Times New Roman"/>
          <w:color w:val="000000" w:themeColor="text1"/>
          <w:sz w:val="28"/>
          <w:szCs w:val="28"/>
          <w14:textFill>
            <w14:solidFill>
              <w14:schemeClr w14:val="tx1"/>
            </w14:solidFill>
          </w14:textFill>
        </w:rPr>
      </w:pPr>
      <w:r>
        <w:rPr>
          <w:rFonts w:hint="eastAsia" w:hAnsi="仿宋_GB2312"/>
          <w:b/>
          <w:color w:val="000000" w:themeColor="text1"/>
          <w:sz w:val="28"/>
          <w:szCs w:val="28"/>
          <w14:textFill>
            <w14:solidFill>
              <w14:schemeClr w14:val="tx1"/>
            </w14:solidFill>
          </w14:textFill>
        </w:rPr>
        <w:t>创新主体量增质升。</w:t>
      </w:r>
      <w:r>
        <w:rPr>
          <w:rFonts w:hint="eastAsia" w:hAnsi="仿宋_GB2312"/>
          <w:color w:val="000000" w:themeColor="text1"/>
          <w:sz w:val="28"/>
          <w:szCs w:val="28"/>
          <w14:textFill>
            <w14:solidFill>
              <w14:schemeClr w14:val="tx1"/>
            </w14:solidFill>
          </w14:textFill>
        </w:rPr>
        <w:t>“十三五”期间，与中科院大学实现合作，建成联合创新实验室、双创基地和科技成果转化服务中心，新增院士工作站1家，2家产业技术研究院均被认定为省级研究院。全县拥有高新技术企业50家、科技型中小企业890家、省级企业技术研究中心19家、数字化车间3家、省级“专精特新”中小企业22家、</w:t>
      </w:r>
      <w:r>
        <w:rPr>
          <w:rFonts w:hint="eastAsia" w:hAnsi="仿宋_GB2312"/>
          <w:color w:val="000000" w:themeColor="text1"/>
          <w:sz w:val="28"/>
          <w:szCs w:val="28"/>
          <w:lang w:eastAsia="zh-CN"/>
          <w14:textFill>
            <w14:solidFill>
              <w14:schemeClr w14:val="tx1"/>
            </w14:solidFill>
          </w14:textFill>
        </w:rPr>
        <w:t>专精特新“小巨人”</w:t>
      </w:r>
      <w:r>
        <w:rPr>
          <w:rFonts w:hint="eastAsia" w:hAnsi="仿宋_GB2312"/>
          <w:color w:val="000000" w:themeColor="text1"/>
          <w:sz w:val="28"/>
          <w:szCs w:val="28"/>
          <w14:textFill>
            <w14:solidFill>
              <w14:schemeClr w14:val="tx1"/>
            </w14:solidFill>
          </w14:textFill>
        </w:rPr>
        <w:t>企业2家、省级绿色工厂2家、国家级绿色工厂2家。五年来，累计实施省市技改项目143个，我县被认定为河北省工业转型升级试点示范县、河北省创新县（市、区）建设试点。</w:t>
      </w:r>
      <w:r>
        <w:rPr>
          <w:rFonts w:hint="eastAsia" w:hAnsi="仿宋_GB2312"/>
          <w:b/>
          <w:color w:val="000000" w:themeColor="text1"/>
          <w:sz w:val="28"/>
          <w:szCs w:val="28"/>
          <w14:textFill>
            <w14:solidFill>
              <w14:schemeClr w14:val="tx1"/>
            </w14:solidFill>
          </w14:textFill>
        </w:rPr>
        <w:t>工业设计呈现亮点化。</w:t>
      </w:r>
      <w:r>
        <w:rPr>
          <w:rFonts w:hint="eastAsia" w:hAnsi="仿宋_GB2312"/>
          <w:color w:val="000000" w:themeColor="text1"/>
          <w:sz w:val="28"/>
          <w:szCs w:val="28"/>
          <w14:textFill>
            <w14:solidFill>
              <w14:schemeClr w14:val="tx1"/>
            </w14:solidFill>
          </w14:textFill>
        </w:rPr>
        <w:t>坚持以工业设计引领产业升级，全面推进与深圳工业设计行业深度合作，清河羊绒原创设计展示中心建成投用，羊绒小镇被工业和信息化部确定为纺织服装创意设计试点园区，</w:t>
      </w:r>
      <w:r>
        <w:rPr>
          <w:rFonts w:hint="eastAsia" w:ascii="Times New Roman" w:hAnsi="Times New Roman" w:cs="Times New Roman"/>
          <w:color w:val="000000" w:themeColor="text1"/>
          <w:sz w:val="28"/>
          <w:szCs w:val="28"/>
          <w14:textFill>
            <w14:solidFill>
              <w14:schemeClr w14:val="tx1"/>
            </w14:solidFill>
          </w14:textFill>
        </w:rPr>
        <w:t>红太公司列入全省工业设计“双百”计划培育企业名单，全省工业设计现场会在清河县召开。</w:t>
      </w:r>
    </w:p>
    <w:p w14:paraId="50A0B79E">
      <w:pPr>
        <w:pStyle w:val="5"/>
        <w:keepNext w:val="0"/>
        <w:keepLines w:val="0"/>
        <w:pageBreakBefore w:val="0"/>
        <w:widowControl w:val="0"/>
        <w:kinsoku/>
        <w:wordWrap/>
        <w:overflowPunct/>
        <w:topLinePunct w:val="0"/>
        <w:autoSpaceDE/>
        <w:autoSpaceDN/>
        <w:bidi w:val="0"/>
        <w:adjustRightInd/>
        <w:snapToGrid/>
        <w:spacing w:before="0" w:after="0" w:line="560" w:lineRule="exact"/>
        <w:ind w:firstLine="560" w:firstLineChars="200"/>
        <w:textAlignment w:val="auto"/>
        <w:rPr>
          <w:rFonts w:ascii="黑体" w:hAnsi="黑体" w:eastAsia="黑体"/>
          <w:b w:val="0"/>
          <w:bCs w:val="0"/>
          <w:color w:val="000000" w:themeColor="text1"/>
          <w:sz w:val="28"/>
          <w:szCs w:val="28"/>
          <w14:textFill>
            <w14:solidFill>
              <w14:schemeClr w14:val="tx1"/>
            </w14:solidFill>
          </w14:textFill>
        </w:rPr>
      </w:pPr>
      <w:bookmarkStart w:id="58" w:name="_Toc16984"/>
      <w:bookmarkStart w:id="59" w:name="_Toc2379"/>
      <w:bookmarkStart w:id="60" w:name="_Toc20102"/>
      <w:r>
        <w:rPr>
          <w:rFonts w:hint="eastAsia" w:ascii="黑体" w:hAnsi="黑体" w:eastAsia="黑体"/>
          <w:b w:val="0"/>
          <w:bCs w:val="0"/>
          <w:color w:val="000000" w:themeColor="text1"/>
          <w:sz w:val="28"/>
          <w:szCs w:val="28"/>
          <w14:textFill>
            <w14:solidFill>
              <w14:schemeClr w14:val="tx1"/>
            </w14:solidFill>
          </w14:textFill>
        </w:rPr>
        <w:t>五、</w:t>
      </w:r>
      <w:r>
        <w:rPr>
          <w:rFonts w:ascii="黑体" w:hAnsi="黑体" w:eastAsia="黑体"/>
          <w:b w:val="0"/>
          <w:bCs w:val="0"/>
          <w:color w:val="000000" w:themeColor="text1"/>
          <w:sz w:val="28"/>
          <w:szCs w:val="28"/>
          <w14:textFill>
            <w14:solidFill>
              <w14:schemeClr w14:val="tx1"/>
            </w14:solidFill>
          </w14:textFill>
        </w:rPr>
        <w:t>城乡建设持续加强</w:t>
      </w:r>
      <w:r>
        <w:rPr>
          <w:rFonts w:hint="eastAsia" w:ascii="黑体" w:hAnsi="黑体" w:eastAsia="黑体"/>
          <w:b w:val="0"/>
          <w:bCs w:val="0"/>
          <w:color w:val="000000" w:themeColor="text1"/>
          <w:sz w:val="28"/>
          <w:szCs w:val="28"/>
          <w14:textFill>
            <w14:solidFill>
              <w14:schemeClr w14:val="tx1"/>
            </w14:solidFill>
          </w14:textFill>
        </w:rPr>
        <w:t>，协调发展更加</w:t>
      </w:r>
      <w:bookmarkEnd w:id="58"/>
      <w:bookmarkEnd w:id="59"/>
      <w:r>
        <w:rPr>
          <w:rFonts w:hint="eastAsia" w:ascii="黑体" w:hAnsi="黑体" w:eastAsia="黑体"/>
          <w:b w:val="0"/>
          <w:bCs w:val="0"/>
          <w:color w:val="000000" w:themeColor="text1"/>
          <w:sz w:val="28"/>
          <w:szCs w:val="28"/>
          <w14:textFill>
            <w14:solidFill>
              <w14:schemeClr w14:val="tx1"/>
            </w14:solidFill>
          </w14:textFill>
        </w:rPr>
        <w:t>深入</w:t>
      </w:r>
      <w:bookmarkEnd w:id="60"/>
    </w:p>
    <w:p w14:paraId="1818EC21">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城市规模不断扩大。</w:t>
      </w:r>
      <w:r>
        <w:rPr>
          <w:rFonts w:hint="eastAsia" w:ascii="仿宋_GB2312" w:hAnsi="仿宋_GB2312" w:eastAsia="仿宋_GB2312" w:cs="仿宋_GB2312"/>
          <w:color w:val="000000" w:themeColor="text1"/>
          <w:sz w:val="28"/>
          <w:szCs w:val="28"/>
          <w14:textFill>
            <w14:solidFill>
              <w14:schemeClr w14:val="tx1"/>
            </w14:solidFill>
          </w14:textFill>
        </w:rPr>
        <w:t>全县城镇化水平进一步提升，县城建城区扩大至25.8平方公里，2020年全县户籍人口城镇化率达到</w:t>
      </w:r>
      <w:r>
        <w:rPr>
          <w:rFonts w:ascii="仿宋_GB2312" w:hAnsi="仿宋_GB2312" w:eastAsia="仿宋_GB2312" w:cs="仿宋_GB2312"/>
          <w:color w:val="000000" w:themeColor="text1"/>
          <w:sz w:val="28"/>
          <w:szCs w:val="28"/>
          <w14:textFill>
            <w14:solidFill>
              <w14:schemeClr w14:val="tx1"/>
            </w14:solidFill>
          </w14:textFill>
        </w:rPr>
        <w:t>49.76</w:t>
      </w:r>
      <w:r>
        <w:rPr>
          <w:rFonts w:hint="eastAsia" w:ascii="仿宋_GB2312" w:hAnsi="仿宋_GB2312" w:eastAsia="仿宋_GB2312" w:cs="仿宋_GB2312"/>
          <w:color w:val="000000" w:themeColor="text1"/>
          <w:sz w:val="28"/>
          <w:szCs w:val="28"/>
          <w14:textFill>
            <w14:solidFill>
              <w14:schemeClr w14:val="tx1"/>
            </w14:solidFill>
          </w14:textFill>
        </w:rPr>
        <w:t>％，常住人口城镇化率预计达到</w:t>
      </w:r>
      <w:r>
        <w:rPr>
          <w:rFonts w:ascii="仿宋_GB2312" w:hAnsi="仿宋_GB2312" w:eastAsia="仿宋_GB2312" w:cs="仿宋_GB2312"/>
          <w:color w:val="000000" w:themeColor="text1"/>
          <w:sz w:val="28"/>
          <w:szCs w:val="28"/>
          <w14:textFill>
            <w14:solidFill>
              <w14:schemeClr w14:val="tx1"/>
            </w14:solidFill>
          </w14:textFill>
        </w:rPr>
        <w:t>59.75</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b/>
          <w:bCs/>
          <w:color w:val="000000" w:themeColor="text1"/>
          <w:sz w:val="28"/>
          <w:szCs w:val="28"/>
          <w14:textFill>
            <w14:solidFill>
              <w14:schemeClr w14:val="tx1"/>
            </w14:solidFill>
          </w14:textFill>
        </w:rPr>
        <w:t>规划体系更加完善。</w:t>
      </w:r>
      <w:r>
        <w:rPr>
          <w:rFonts w:hint="eastAsia" w:ascii="仿宋_GB2312" w:hAnsi="仿宋_GB2312" w:eastAsia="仿宋_GB2312" w:cs="仿宋_GB2312"/>
          <w:color w:val="000000" w:themeColor="text1"/>
          <w:sz w:val="28"/>
          <w:szCs w:val="28"/>
          <w14:textFill>
            <w14:solidFill>
              <w14:schemeClr w14:val="tx1"/>
            </w14:solidFill>
          </w14:textFill>
        </w:rPr>
        <w:t>五年来，坚持规划先行，高水平编制规划，累计编制城乡总体规划、羊绒小镇控详规划等各类专项规划17项，国土空间规划形成“1+1+5+10”初步成果体系，高铁片区规划形成专家评审稿。</w:t>
      </w:r>
      <w:r>
        <w:rPr>
          <w:rFonts w:hint="eastAsia" w:ascii="仿宋_GB2312" w:hAnsi="仿宋_GB2312" w:eastAsia="仿宋_GB2312" w:cs="仿宋_GB2312"/>
          <w:b/>
          <w:bCs/>
          <w:color w:val="000000" w:themeColor="text1"/>
          <w:sz w:val="28"/>
          <w:szCs w:val="28"/>
          <w14:textFill>
            <w14:solidFill>
              <w14:schemeClr w14:val="tx1"/>
            </w14:solidFill>
          </w14:textFill>
        </w:rPr>
        <w:t>基础设施不断完善。</w:t>
      </w:r>
      <w:r>
        <w:rPr>
          <w:rFonts w:hint="eastAsia" w:ascii="仿宋_GB2312" w:hAnsi="仿宋_GB2312" w:eastAsia="仿宋_GB2312" w:cs="仿宋_GB2312"/>
          <w:color w:val="000000" w:themeColor="text1"/>
          <w:sz w:val="28"/>
          <w:szCs w:val="28"/>
          <w14:textFill>
            <w14:solidFill>
              <w14:schemeClr w14:val="tx1"/>
            </w14:solidFill>
          </w14:textFill>
        </w:rPr>
        <w:t>城区主要街道改扩建、集中供热、地表水厂、雨污分流、清水河区域生态综合治理等一批重大基础设施项目顺利实施，并发挥作用。</w:t>
      </w:r>
      <w:r>
        <w:rPr>
          <w:rFonts w:hint="eastAsia" w:ascii="仿宋_GB2312" w:hAnsi="仿宋_GB2312" w:eastAsia="仿宋_GB2312" w:cs="仿宋_GB2312"/>
          <w:b/>
          <w:bCs/>
          <w:color w:val="000000" w:themeColor="text1"/>
          <w:sz w:val="28"/>
          <w:szCs w:val="28"/>
          <w14:textFill>
            <w14:solidFill>
              <w14:schemeClr w14:val="tx1"/>
            </w14:solidFill>
          </w14:textFill>
        </w:rPr>
        <w:t>生活品位不断提升。</w:t>
      </w:r>
      <w:r>
        <w:rPr>
          <w:rFonts w:hint="eastAsia" w:ascii="仿宋_GB2312" w:hAnsi="仿宋_GB2312" w:eastAsia="仿宋_GB2312" w:cs="仿宋_GB2312"/>
          <w:color w:val="000000" w:themeColor="text1"/>
          <w:sz w:val="28"/>
          <w:szCs w:val="28"/>
          <w14:textFill>
            <w14:solidFill>
              <w14:schemeClr w14:val="tx1"/>
            </w14:solidFill>
          </w14:textFill>
        </w:rPr>
        <w:t>规划馆、图书馆、“花海水城”项目等一批精品亮点工程投入使用。运河小区、火车站小区等多个老旧小区改造工程顺利完成。30余个绿化项目先后实施，新增绿化面积160余万平方米，绿地率达38.4%。</w:t>
      </w:r>
      <w:r>
        <w:rPr>
          <w:rFonts w:hint="eastAsia" w:ascii="仿宋_GB2312" w:hAnsi="仿宋_GB2312" w:eastAsia="仿宋_GB2312" w:cs="仿宋_GB2312"/>
          <w:b/>
          <w:bCs/>
          <w:color w:val="000000" w:themeColor="text1"/>
          <w:sz w:val="28"/>
          <w:szCs w:val="28"/>
          <w14:textFill>
            <w14:solidFill>
              <w14:schemeClr w14:val="tx1"/>
            </w14:solidFill>
          </w14:textFill>
        </w:rPr>
        <w:t>智慧城市不断深化。</w:t>
      </w:r>
      <w:r>
        <w:rPr>
          <w:rFonts w:hint="eastAsia" w:ascii="仿宋_GB2312" w:hAnsi="仿宋_GB2312" w:eastAsia="仿宋_GB2312" w:cs="仿宋_GB2312"/>
          <w:color w:val="000000" w:themeColor="text1"/>
          <w:sz w:val="28"/>
          <w:szCs w:val="28"/>
          <w14:textFill>
            <w14:solidFill>
              <w14:schemeClr w14:val="tx1"/>
            </w14:solidFill>
          </w14:textFill>
        </w:rPr>
        <w:t>建成了清河智慧城市指挥中心，完成“时空清河”城市大脑框架构建，完成智慧城市二期工程，在</w:t>
      </w:r>
      <w:r>
        <w:rPr>
          <w:rFonts w:ascii="仿宋_GB2312" w:hAnsi="仿宋_GB2312" w:eastAsia="仿宋_GB2312" w:cs="仿宋_GB2312"/>
          <w:color w:val="000000" w:themeColor="text1"/>
          <w:sz w:val="28"/>
          <w:szCs w:val="28"/>
          <w14:textFill>
            <w14:solidFill>
              <w14:schemeClr w14:val="tx1"/>
            </w14:solidFill>
          </w14:textFill>
        </w:rPr>
        <w:t>2019年第十一届中国经济智慧城市大会获得优秀案例奖</w:t>
      </w:r>
      <w:r>
        <w:rPr>
          <w:rFonts w:hint="eastAsia" w:ascii="仿宋_GB2312" w:hAnsi="仿宋_GB2312" w:eastAsia="仿宋_GB2312" w:cs="仿宋_GB2312"/>
          <w:color w:val="000000" w:themeColor="text1"/>
          <w:sz w:val="28"/>
          <w:szCs w:val="28"/>
          <w14:textFill>
            <w14:solidFill>
              <w14:schemeClr w14:val="tx1"/>
            </w14:solidFill>
          </w14:textFill>
        </w:rPr>
        <w:t>，清河城市更“聪明”，更宜居。全县先后荣获“国家卫生县城”“省级文明县城”“省洁净城市”“河北省人居环境进步奖”“中国领军智慧城区”。</w:t>
      </w:r>
    </w:p>
    <w:p w14:paraId="44B14FE3">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美丽乡村建设扎实推进。</w:t>
      </w:r>
      <w:r>
        <w:rPr>
          <w:rFonts w:hint="eastAsia" w:ascii="仿宋_GB2312" w:hAnsi="仿宋_GB2312" w:eastAsia="仿宋_GB2312" w:cs="仿宋_GB2312"/>
          <w:color w:val="000000" w:themeColor="text1"/>
          <w:sz w:val="28"/>
          <w:szCs w:val="28"/>
          <w14:textFill>
            <w14:solidFill>
              <w14:schemeClr w14:val="tx1"/>
            </w14:solidFill>
          </w14:textFill>
        </w:rPr>
        <w:t>深入开展农村人居环境整治三年行动，城乡垃圾一体化扎实推进，农村垃圾无害化处理率达到100%。新改建农村公路61条106.5公里，全县322个村主街道硬化率达到100%。“双代”工程顺利实施，城乡居民全部实现清洁取暖。2019年被河北省确定为农村人居环境整治全域完成县。</w:t>
      </w:r>
      <w:r>
        <w:rPr>
          <w:rFonts w:hint="eastAsia" w:ascii="仿宋_GB2312" w:hAnsi="仿宋_GB2312" w:eastAsia="仿宋_GB2312" w:cs="仿宋_GB2312"/>
          <w:b/>
          <w:bCs/>
          <w:color w:val="000000" w:themeColor="text1"/>
          <w:sz w:val="28"/>
          <w:szCs w:val="28"/>
          <w14:textFill>
            <w14:solidFill>
              <w14:schemeClr w14:val="tx1"/>
            </w14:solidFill>
          </w14:textFill>
        </w:rPr>
        <w:t>农村改革深入推进。</w:t>
      </w:r>
      <w:r>
        <w:rPr>
          <w:rFonts w:hint="eastAsia" w:ascii="仿宋_GB2312" w:hAnsi="仿宋_GB2312" w:eastAsia="仿宋_GB2312" w:cs="仿宋_GB2312"/>
          <w:color w:val="000000" w:themeColor="text1"/>
          <w:sz w:val="28"/>
          <w:szCs w:val="28"/>
          <w14:textFill>
            <w14:solidFill>
              <w14:schemeClr w14:val="tx1"/>
            </w14:solidFill>
          </w14:textFill>
        </w:rPr>
        <w:t>稳步推进农村土地“三权分置”，完成农村土地承包经营权、宅基地使用权确权登记颁证工作，农村土地承包经营权纠纷调解仲裁工作实现全覆盖，土地流转面积14万亩。完成了农村集体产权制度改革，全县322个村全部成立股份经济合作社，村集体经济收入全部超5万元，我县被评为全省农村集体经济先进县。</w:t>
      </w:r>
    </w:p>
    <w:p w14:paraId="3923200E">
      <w:pPr>
        <w:pStyle w:val="5"/>
        <w:keepNext w:val="0"/>
        <w:keepLines w:val="0"/>
        <w:pageBreakBefore w:val="0"/>
        <w:widowControl w:val="0"/>
        <w:kinsoku/>
        <w:wordWrap/>
        <w:overflowPunct/>
        <w:topLinePunct w:val="0"/>
        <w:autoSpaceDE/>
        <w:autoSpaceDN/>
        <w:bidi w:val="0"/>
        <w:adjustRightInd/>
        <w:snapToGrid/>
        <w:spacing w:before="0" w:after="0" w:line="560" w:lineRule="exact"/>
        <w:ind w:firstLine="560" w:firstLineChars="200"/>
        <w:textAlignment w:val="auto"/>
        <w:rPr>
          <w:rFonts w:ascii="黑体" w:hAnsi="黑体" w:eastAsia="黑体"/>
          <w:b w:val="0"/>
          <w:bCs w:val="0"/>
          <w:color w:val="000000" w:themeColor="text1"/>
          <w:sz w:val="28"/>
          <w:szCs w:val="28"/>
          <w14:textFill>
            <w14:solidFill>
              <w14:schemeClr w14:val="tx1"/>
            </w14:solidFill>
          </w14:textFill>
        </w:rPr>
      </w:pPr>
      <w:bookmarkStart w:id="61" w:name="_Toc21735"/>
      <w:bookmarkStart w:id="62" w:name="_Toc11648"/>
      <w:bookmarkStart w:id="63" w:name="_Toc1086"/>
      <w:r>
        <w:rPr>
          <w:rFonts w:hint="eastAsia" w:ascii="黑体" w:hAnsi="黑体" w:eastAsia="黑体"/>
          <w:b w:val="0"/>
          <w:bCs w:val="0"/>
          <w:color w:val="000000" w:themeColor="text1"/>
          <w:sz w:val="28"/>
          <w:szCs w:val="28"/>
          <w14:textFill>
            <w14:solidFill>
              <w14:schemeClr w14:val="tx1"/>
            </w14:solidFill>
          </w14:textFill>
        </w:rPr>
        <w:t>六、深化改革取得突破，发展环境持续优化</w:t>
      </w:r>
      <w:bookmarkEnd w:id="61"/>
      <w:bookmarkEnd w:id="62"/>
      <w:bookmarkEnd w:id="63"/>
    </w:p>
    <w:p w14:paraId="41DC790E">
      <w:pPr>
        <w:pStyle w:val="2"/>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Ansi="仿宋_GB2312"/>
          <w:color w:val="000000" w:themeColor="text1"/>
          <w:sz w:val="28"/>
          <w:szCs w:val="28"/>
          <w14:textFill>
            <w14:solidFill>
              <w14:schemeClr w14:val="tx1"/>
            </w14:solidFill>
          </w14:textFill>
        </w:rPr>
      </w:pPr>
      <w:r>
        <w:rPr>
          <w:rFonts w:hint="eastAsia" w:hAnsi="仿宋_GB2312"/>
          <w:color w:val="000000" w:themeColor="text1"/>
          <w:sz w:val="28"/>
          <w:szCs w:val="28"/>
          <w14:textFill>
            <w14:solidFill>
              <w14:schemeClr w14:val="tx1"/>
            </w14:solidFill>
          </w14:textFill>
        </w:rPr>
        <w:t>“十三五”期间，我县始终坚持打造最优营商环境，被评为“全省优化营商环境推动高质量发展先进县”。</w:t>
      </w:r>
      <w:r>
        <w:rPr>
          <w:rFonts w:hint="eastAsia" w:hAnsi="仿宋_GB2312"/>
          <w:b/>
          <w:bCs/>
          <w:color w:val="000000" w:themeColor="text1"/>
          <w:sz w:val="28"/>
          <w:szCs w:val="28"/>
          <w14:textFill>
            <w14:solidFill>
              <w14:schemeClr w14:val="tx1"/>
            </w14:solidFill>
          </w14:textFill>
        </w:rPr>
        <w:t>改革创新服务方式，服务效能明显提升。</w:t>
      </w:r>
      <w:r>
        <w:rPr>
          <w:rFonts w:hint="eastAsia" w:hAnsi="仿宋_GB2312"/>
          <w:color w:val="000000" w:themeColor="text1"/>
          <w:sz w:val="28"/>
          <w:szCs w:val="28"/>
          <w14:textFill>
            <w14:solidFill>
              <w14:schemeClr w14:val="tx1"/>
            </w14:solidFill>
          </w14:textFill>
        </w:rPr>
        <w:t>优化审批流程，精简审批环节，80％审批事项实现“最多跑一次”，380项服务事项实现“不见面”办理。积极创建“无证明城市”，创新构建“三简三全” “全不见面”“一张网、无证明、一码通、全网办”新模式，证明事项由218项减少至86项，服务效率明显提升，多次被中央电视台报道。五年来，全县净增市场主体37577家，总数达67779家，万人市场主体拥有量位居全市第一。积极落实各类减负政策，五年共减税降费10.7亿元。</w:t>
      </w:r>
      <w:r>
        <w:rPr>
          <w:rFonts w:hint="eastAsia" w:hAnsi="仿宋_GB2312"/>
          <w:b/>
          <w:bCs/>
          <w:color w:val="000000" w:themeColor="text1"/>
          <w:sz w:val="28"/>
          <w:szCs w:val="28"/>
          <w14:textFill>
            <w14:solidFill>
              <w14:schemeClr w14:val="tx1"/>
            </w14:solidFill>
          </w14:textFill>
        </w:rPr>
        <w:t>改革创新金融服务，融资环境更加优化。</w:t>
      </w:r>
      <w:r>
        <w:rPr>
          <w:rFonts w:hint="eastAsia" w:hAnsi="仿宋_GB2312"/>
          <w:color w:val="000000" w:themeColor="text1"/>
          <w:sz w:val="28"/>
          <w:szCs w:val="28"/>
          <w14:textFill>
            <w14:solidFill>
              <w14:schemeClr w14:val="tx1"/>
            </w14:solidFill>
          </w14:textFill>
        </w:rPr>
        <w:t>整合涉企信息，建立线上“清易融”信用信息金融服务平台，线下“清河金融超市”银企对接更便利，创新实施“行长走工厂”“行长擂台赛”等行动，贷款难、贷款贵问题得到有效缓解。截至2020年底，全县贷款余额164.95亿元，年均增长21.54%，五年时间翻了一番多。</w:t>
      </w:r>
    </w:p>
    <w:p w14:paraId="51729858">
      <w:pPr>
        <w:pStyle w:val="5"/>
        <w:keepNext w:val="0"/>
        <w:keepLines w:val="0"/>
        <w:pageBreakBefore w:val="0"/>
        <w:widowControl w:val="0"/>
        <w:kinsoku/>
        <w:wordWrap/>
        <w:overflowPunct/>
        <w:topLinePunct w:val="0"/>
        <w:autoSpaceDE/>
        <w:autoSpaceDN/>
        <w:bidi w:val="0"/>
        <w:adjustRightInd/>
        <w:snapToGrid/>
        <w:spacing w:before="0" w:after="0" w:line="560" w:lineRule="exact"/>
        <w:ind w:firstLine="560" w:firstLineChars="200"/>
        <w:textAlignment w:val="auto"/>
        <w:rPr>
          <w:rFonts w:ascii="黑体" w:hAnsi="黑体" w:eastAsia="黑体"/>
          <w:b w:val="0"/>
          <w:bCs w:val="0"/>
          <w:color w:val="000000" w:themeColor="text1"/>
          <w:sz w:val="28"/>
          <w:szCs w:val="28"/>
          <w14:textFill>
            <w14:solidFill>
              <w14:schemeClr w14:val="tx1"/>
            </w14:solidFill>
          </w14:textFill>
        </w:rPr>
      </w:pPr>
      <w:bookmarkStart w:id="64" w:name="_Toc27588"/>
      <w:bookmarkStart w:id="65" w:name="_Toc22067"/>
      <w:bookmarkStart w:id="66" w:name="_Toc2396"/>
      <w:r>
        <w:rPr>
          <w:rFonts w:hint="eastAsia" w:ascii="黑体" w:hAnsi="黑体" w:eastAsia="黑体"/>
          <w:b w:val="0"/>
          <w:bCs w:val="0"/>
          <w:color w:val="000000" w:themeColor="text1"/>
          <w:sz w:val="28"/>
          <w:szCs w:val="28"/>
          <w14:textFill>
            <w14:solidFill>
              <w14:schemeClr w14:val="tx1"/>
            </w14:solidFill>
          </w14:textFill>
        </w:rPr>
        <w:t>七、生态治理持续加强，环境状况明显改善</w:t>
      </w:r>
      <w:bookmarkEnd w:id="64"/>
      <w:bookmarkEnd w:id="65"/>
      <w:bookmarkEnd w:id="66"/>
    </w:p>
    <w:p w14:paraId="542C293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大力实施“蓝天、碧水、净土”保卫行动，污染防治攻坚战取得良好成效。</w:t>
      </w:r>
    </w:p>
    <w:p w14:paraId="0783913E">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562" w:firstLineChars="200"/>
        <w:jc w:val="both"/>
        <w:textAlignment w:val="auto"/>
        <w:rPr>
          <w:rFonts w:ascii="仿宋_GB2312" w:hAnsi="仿宋_GB2312" w:eastAsia="仿宋_GB2312" w:cs="仿宋_GB2312"/>
          <w:color w:val="000000" w:themeColor="text1"/>
          <w:kern w:val="2"/>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空气质量持续好转</w:t>
      </w:r>
      <w:r>
        <w:rPr>
          <w:rFonts w:hint="eastAsia" w:ascii="仿宋_GB2312" w:hAnsi="仿宋_GB2312" w:eastAsia="仿宋_GB2312" w:cs="仿宋_GB2312"/>
          <w:color w:val="000000" w:themeColor="text1"/>
          <w:kern w:val="2"/>
          <w:sz w:val="28"/>
          <w:szCs w:val="28"/>
          <w14:textFill>
            <w14:solidFill>
              <w14:schemeClr w14:val="tx1"/>
            </w14:solidFill>
          </w14:textFill>
        </w:rPr>
        <w:t>。五年来，通过实施网格管理，加强人防技防，统筹综合治理，空气质量持续好转，蓝天白云已成常态。</w:t>
      </w:r>
      <w:bookmarkStart w:id="67" w:name="_Hlk63338856"/>
      <w:r>
        <w:rPr>
          <w:rFonts w:hint="eastAsia" w:ascii="仿宋_GB2312" w:hAnsi="仿宋_GB2312" w:eastAsia="仿宋_GB2312" w:cs="仿宋_GB2312"/>
          <w:color w:val="000000" w:themeColor="text1"/>
          <w:kern w:val="2"/>
          <w:sz w:val="28"/>
          <w:szCs w:val="28"/>
          <w14:textFill>
            <w14:solidFill>
              <w14:schemeClr w14:val="tx1"/>
            </w14:solidFill>
          </w14:textFill>
        </w:rPr>
        <w:t>2020年全县空气质量综合指数达</w:t>
      </w:r>
      <w:r>
        <w:rPr>
          <w:rFonts w:ascii="仿宋_GB2312" w:hAnsi="仿宋_GB2312" w:eastAsia="仿宋_GB2312" w:cs="仿宋_GB2312"/>
          <w:color w:val="000000" w:themeColor="text1"/>
          <w:kern w:val="2"/>
          <w:sz w:val="28"/>
          <w:szCs w:val="28"/>
          <w14:textFill>
            <w14:solidFill>
              <w14:schemeClr w14:val="tx1"/>
            </w14:solidFill>
          </w14:textFill>
        </w:rPr>
        <w:t>5.6</w:t>
      </w:r>
      <w:r>
        <w:rPr>
          <w:rFonts w:hint="eastAsia" w:ascii="仿宋_GB2312" w:hAnsi="仿宋_GB2312" w:eastAsia="仿宋_GB2312" w:cs="仿宋_GB2312"/>
          <w:color w:val="000000" w:themeColor="text1"/>
          <w:kern w:val="2"/>
          <w:sz w:val="28"/>
          <w:szCs w:val="28"/>
          <w14:textFill>
            <w14:solidFill>
              <w14:schemeClr w14:val="tx1"/>
            </w14:solidFill>
          </w14:textFill>
        </w:rPr>
        <w:t>，较2015年的</w:t>
      </w:r>
      <w:r>
        <w:rPr>
          <w:rFonts w:ascii="仿宋_GB2312" w:hAnsi="仿宋_GB2312" w:eastAsia="仿宋_GB2312" w:cs="仿宋_GB2312"/>
          <w:color w:val="000000" w:themeColor="text1"/>
          <w:kern w:val="2"/>
          <w:sz w:val="28"/>
          <w:szCs w:val="28"/>
          <w14:textFill>
            <w14:solidFill>
              <w14:schemeClr w14:val="tx1"/>
            </w14:solidFill>
          </w14:textFill>
        </w:rPr>
        <w:t>8.9</w:t>
      </w:r>
      <w:r>
        <w:rPr>
          <w:rFonts w:hint="eastAsia" w:ascii="仿宋_GB2312" w:hAnsi="仿宋_GB2312" w:eastAsia="仿宋_GB2312" w:cs="仿宋_GB2312"/>
          <w:color w:val="000000" w:themeColor="text1"/>
          <w:kern w:val="2"/>
          <w:sz w:val="28"/>
          <w:szCs w:val="28"/>
          <w14:textFill>
            <w14:solidFill>
              <w14:schemeClr w14:val="tx1"/>
            </w14:solidFill>
          </w14:textFill>
        </w:rPr>
        <w:t>改善了</w:t>
      </w:r>
      <w:r>
        <w:rPr>
          <w:rFonts w:ascii="仿宋_GB2312" w:hAnsi="仿宋_GB2312" w:eastAsia="仿宋_GB2312" w:cs="仿宋_GB2312"/>
          <w:color w:val="000000" w:themeColor="text1"/>
          <w:kern w:val="2"/>
          <w:sz w:val="28"/>
          <w:szCs w:val="28"/>
          <w14:textFill>
            <w14:solidFill>
              <w14:schemeClr w14:val="tx1"/>
            </w14:solidFill>
          </w14:textFill>
        </w:rPr>
        <w:t>37</w:t>
      </w:r>
      <w:r>
        <w:rPr>
          <w:rFonts w:hint="eastAsia" w:ascii="仿宋_GB2312" w:hAnsi="仿宋_GB2312" w:eastAsia="仿宋_GB2312" w:cs="仿宋_GB2312"/>
          <w:color w:val="000000" w:themeColor="text1"/>
          <w:kern w:val="2"/>
          <w:sz w:val="28"/>
          <w:szCs w:val="28"/>
          <w14:textFill>
            <w14:solidFill>
              <w14:schemeClr w14:val="tx1"/>
            </w14:solidFill>
          </w14:textFill>
        </w:rPr>
        <w:t>%；</w:t>
      </w:r>
      <w:bookmarkEnd w:id="67"/>
      <w:r>
        <w:rPr>
          <w:rFonts w:hint="eastAsia" w:ascii="仿宋_GB2312" w:hAnsi="仿宋_GB2312" w:eastAsia="仿宋_GB2312" w:cs="仿宋_GB2312"/>
          <w:color w:val="000000" w:themeColor="text1"/>
          <w:kern w:val="2"/>
          <w:sz w:val="28"/>
          <w:szCs w:val="28"/>
          <w14:textFill>
            <w14:solidFill>
              <w14:schemeClr w14:val="tx1"/>
            </w14:solidFill>
          </w14:textFill>
        </w:rPr>
        <w:t>PM2.5浓度为59微克/立方米，较2015年下降了47.3%；全年优良天数达到214天，较2015增加了110天。</w:t>
      </w:r>
    </w:p>
    <w:p w14:paraId="1C5146C5">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562" w:firstLineChars="200"/>
        <w:jc w:val="both"/>
        <w:textAlignment w:val="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水体治理成效显著</w:t>
      </w:r>
      <w:r>
        <w:rPr>
          <w:rFonts w:hint="eastAsia" w:ascii="仿宋_GB2312" w:hAnsi="仿宋_GB2312" w:eastAsia="仿宋_GB2312" w:cs="仿宋_GB2312"/>
          <w:color w:val="000000" w:themeColor="text1"/>
          <w:kern w:val="2"/>
          <w:sz w:val="28"/>
          <w:szCs w:val="28"/>
          <w14:textFill>
            <w14:solidFill>
              <w14:schemeClr w14:val="tx1"/>
            </w14:solidFill>
          </w14:textFill>
        </w:rPr>
        <w:t>。认真落实“河长制”，实施水系建设，河渠连通；深入开展“清四乱”行动，水体治理成效显著。截至“十三五”末，我县河流断面指标除氨氮外，其余指标年均值均达到Ⅴ类水体要求，河流水质得到了明显改善；城区黑臭水体控制在10%以内。南水北调水源置换快速推进，水资源配置得到优化，提升了城镇饮水安全能力。城镇集中式饮用水水源水质达标率100%，农村集中饮用水水源水质达标比例为80%以上。地下水超采治理成效明显，深层地下水较2017年平均上升5.73米，我县被水利部评为全国县域节水型社会建设达标县。</w:t>
      </w:r>
    </w:p>
    <w:p w14:paraId="44DEFFC2">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562" w:firstLineChars="200"/>
        <w:jc w:val="both"/>
        <w:textAlignment w:val="auto"/>
        <w:rPr>
          <w:rFonts w:ascii="仿宋_GB2312" w:hAnsi="仿宋_GB2312" w:eastAsia="仿宋_GB2312" w:cs="仿宋_GB2312"/>
          <w:color w:val="000000" w:themeColor="text1"/>
          <w:kern w:val="2"/>
          <w:sz w:val="28"/>
          <w:szCs w:val="28"/>
          <w14:textFill>
            <w14:solidFill>
              <w14:schemeClr w14:val="tx1"/>
            </w14:solidFill>
          </w14:textFill>
        </w:rPr>
      </w:pPr>
      <w:r>
        <w:rPr>
          <w:rFonts w:hint="eastAsia" w:ascii="仿宋_GB2312" w:hAnsi="仿宋_GB2312" w:eastAsia="仿宋_GB2312" w:cs="仿宋_GB2312"/>
          <w:b/>
          <w:bCs/>
          <w:color w:val="000000" w:themeColor="text1"/>
          <w:kern w:val="2"/>
          <w:sz w:val="28"/>
          <w:szCs w:val="28"/>
          <w14:textFill>
            <w14:solidFill>
              <w14:schemeClr w14:val="tx1"/>
            </w14:solidFill>
          </w14:textFill>
        </w:rPr>
        <w:t>土壤污染防治加强。</w:t>
      </w:r>
      <w:r>
        <w:rPr>
          <w:rFonts w:hint="eastAsia" w:ascii="仿宋_GB2312" w:hAnsi="仿宋_GB2312" w:eastAsia="仿宋_GB2312" w:cs="仿宋_GB2312"/>
          <w:color w:val="000000" w:themeColor="text1"/>
          <w:kern w:val="2"/>
          <w:sz w:val="28"/>
          <w:szCs w:val="28"/>
          <w14:textFill>
            <w14:solidFill>
              <w14:schemeClr w14:val="tx1"/>
            </w14:solidFill>
          </w14:textFill>
        </w:rPr>
        <w:t>完成农用地土壤污染状况详查和重点行业企业土壤污染状况信息采集，加强对土壤污染重点监管单位环境管理，加大企业固体废物和危险废物监管力度，同时积极推进受污染耕地治理修复。</w:t>
      </w:r>
    </w:p>
    <w:p w14:paraId="7D6FCDF1">
      <w:pPr>
        <w:pStyle w:val="5"/>
        <w:keepNext w:val="0"/>
        <w:keepLines w:val="0"/>
        <w:pageBreakBefore w:val="0"/>
        <w:widowControl w:val="0"/>
        <w:kinsoku/>
        <w:wordWrap/>
        <w:overflowPunct/>
        <w:topLinePunct w:val="0"/>
        <w:autoSpaceDE/>
        <w:autoSpaceDN/>
        <w:bidi w:val="0"/>
        <w:adjustRightInd/>
        <w:snapToGrid/>
        <w:spacing w:before="0" w:after="0" w:line="560" w:lineRule="exact"/>
        <w:ind w:firstLine="560" w:firstLineChars="200"/>
        <w:textAlignment w:val="auto"/>
        <w:rPr>
          <w:rFonts w:ascii="黑体" w:hAnsi="黑体" w:eastAsia="黑体"/>
          <w:b w:val="0"/>
          <w:bCs w:val="0"/>
          <w:color w:val="000000" w:themeColor="text1"/>
          <w:sz w:val="28"/>
          <w:szCs w:val="28"/>
          <w14:textFill>
            <w14:solidFill>
              <w14:schemeClr w14:val="tx1"/>
            </w14:solidFill>
          </w14:textFill>
        </w:rPr>
      </w:pPr>
      <w:bookmarkStart w:id="68" w:name="_Toc8254"/>
      <w:bookmarkStart w:id="69" w:name="_Toc21764"/>
      <w:bookmarkStart w:id="70" w:name="_Toc25076"/>
      <w:r>
        <w:rPr>
          <w:rFonts w:hint="eastAsia" w:ascii="黑体" w:hAnsi="黑体" w:eastAsia="黑体"/>
          <w:b w:val="0"/>
          <w:bCs w:val="0"/>
          <w:color w:val="000000" w:themeColor="text1"/>
          <w:sz w:val="28"/>
          <w:szCs w:val="28"/>
          <w14:textFill>
            <w14:solidFill>
              <w14:schemeClr w14:val="tx1"/>
            </w14:solidFill>
          </w14:textFill>
        </w:rPr>
        <w:t>八、民生福祉不断增进，人民生活</w:t>
      </w:r>
      <w:bookmarkEnd w:id="68"/>
      <w:bookmarkEnd w:id="69"/>
      <w:r>
        <w:rPr>
          <w:rFonts w:hint="eastAsia" w:ascii="黑体" w:hAnsi="黑体" w:eastAsia="黑体"/>
          <w:b w:val="0"/>
          <w:bCs w:val="0"/>
          <w:color w:val="000000" w:themeColor="text1"/>
          <w:sz w:val="28"/>
          <w:szCs w:val="28"/>
          <w14:textFill>
            <w14:solidFill>
              <w14:schemeClr w14:val="tx1"/>
            </w14:solidFill>
          </w14:textFill>
        </w:rPr>
        <w:t>更加幸福</w:t>
      </w:r>
      <w:bookmarkEnd w:id="70"/>
    </w:p>
    <w:p w14:paraId="0A9241D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五年来，民生工作有力有效，累计落实民生投资101.3亿元，占全部财政预算支出的77.8%。</w:t>
      </w:r>
    </w:p>
    <w:p w14:paraId="25EB6569">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脱贫攻坚精准推进。</w:t>
      </w:r>
      <w:r>
        <w:rPr>
          <w:rFonts w:hint="eastAsia" w:ascii="仿宋_GB2312" w:hAnsi="仿宋_GB2312" w:eastAsia="仿宋_GB2312" w:cs="仿宋_GB2312"/>
          <w:color w:val="000000" w:themeColor="text1"/>
          <w:sz w:val="28"/>
          <w:szCs w:val="28"/>
          <w14:textFill>
            <w14:solidFill>
              <w14:schemeClr w14:val="tx1"/>
            </w14:solidFill>
          </w14:textFill>
        </w:rPr>
        <w:t>全面贯彻脱贫防贫工作要求，持续加大扶贫投入力度，不断创新工作举措，全部实现“两不愁三保障”和饮水安全全覆盖、产业扶持全覆盖。全面打赢精准脱贫攻坚战，全县系统内建档立卡的4336户9555名农村贫困人口全部实现稳定脱贫。设立爱心超市、激发贫困户内生动力等做法，被新华社内参刊发。</w:t>
      </w:r>
    </w:p>
    <w:p w14:paraId="4F938B3D">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社会保障水平不断提升</w:t>
      </w:r>
      <w:r>
        <w:rPr>
          <w:rFonts w:hint="eastAsia" w:ascii="仿宋_GB2312" w:hAnsi="仿宋_GB2312" w:eastAsia="仿宋_GB2312" w:cs="仿宋_GB2312"/>
          <w:color w:val="000000" w:themeColor="text1"/>
          <w:sz w:val="28"/>
          <w:szCs w:val="28"/>
          <w14:textFill>
            <w14:solidFill>
              <w14:schemeClr w14:val="tx1"/>
            </w14:solidFill>
          </w14:textFill>
        </w:rPr>
        <w:t>。基本医疗保险、基本养老保险参保率分别达到99.96%、99.8%以上，长期护理保险制度全面推开，低保、特困实现应保尽保；各项保障标准逐年提高，城镇、农村低保保障标准较2015年分别提高49%和79%。社会保险待遇资格认证信息化比率、认证率实现双100%，实现与民政殡葬信息、卫生疾控信息等跨部门数据共享；建成“3+1智慧人社”信息化平台。全县城镇新增就业人数2.3万人，实现农村劳动力转移就业2.56万人，帮扶就业困难人员0.54万人，实现16-65周岁贫困劳动力就业17889人（次）。</w:t>
      </w:r>
    </w:p>
    <w:p w14:paraId="046DF07C">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养老事业稳步发展。</w:t>
      </w:r>
      <w:r>
        <w:rPr>
          <w:rFonts w:hint="eastAsia" w:ascii="仿宋_GB2312" w:hAnsi="仿宋_GB2312" w:eastAsia="仿宋_GB2312" w:cs="仿宋_GB2312"/>
          <w:color w:val="000000" w:themeColor="text1"/>
          <w:sz w:val="28"/>
          <w:szCs w:val="28"/>
          <w14:textFill>
            <w14:solidFill>
              <w14:schemeClr w14:val="tx1"/>
            </w14:solidFill>
          </w14:textFill>
        </w:rPr>
        <w:t>积极探索开展医养结合、托养服务等新模式，养老服务体系不断完善，先后建成养老院17所，农村幸福院322所，千人养老床位数由2015年的30张增加至2020年的35张，基本实现养老服务全覆盖。</w:t>
      </w:r>
    </w:p>
    <w:p w14:paraId="3A2C2C5C">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医疗卫健亮点突出。</w:t>
      </w:r>
      <w:r>
        <w:rPr>
          <w:rFonts w:hint="eastAsia" w:ascii="仿宋_GB2312" w:hAnsi="仿宋_GB2312" w:eastAsia="仿宋_GB2312" w:cs="仿宋_GB2312"/>
          <w:color w:val="000000" w:themeColor="text1"/>
          <w:sz w:val="28"/>
          <w:szCs w:val="28"/>
          <w14:textFill>
            <w14:solidFill>
              <w14:schemeClr w14:val="tx1"/>
            </w14:solidFill>
          </w14:textFill>
        </w:rPr>
        <w:t>服务体系逐步健全，医疗水平进一步提高。县乡医疗质量同质化建设、乡村卫生健康服务一体化管理、家庭医生签约服务“13433”工作模式、医养结合、慢性病协同管理等亮点工作走到了全省前列，人民医院、中心医院双双跨入全国县级医院综合能力300强，我县先后被授予河北省健康促进试点县、河北省乡村卫生一体化管理试点县、河北省慢性病综合防控示范区等称号。</w:t>
      </w:r>
    </w:p>
    <w:p w14:paraId="3A08512D">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教育质量持续提升。</w:t>
      </w:r>
      <w:r>
        <w:rPr>
          <w:rFonts w:hint="eastAsia" w:ascii="仿宋_GB2312" w:hAnsi="仿宋_GB2312" w:eastAsia="仿宋_GB2312" w:cs="仿宋_GB2312"/>
          <w:color w:val="000000" w:themeColor="text1"/>
          <w:sz w:val="28"/>
          <w:szCs w:val="28"/>
          <w14:textFill>
            <w14:solidFill>
              <w14:schemeClr w14:val="tx1"/>
            </w14:solidFill>
          </w14:textFill>
        </w:rPr>
        <w:t>加大投入力度，深化教学改革，不断提高教学质量；完成93所中小学校校舍新建、改扩建工程，共计100297平方米；适龄儿童义务教育巩固率达100%，顺利通过国家义务教育基本均衡发展验收，被认定为国家义务教育发展均衡县；在全市率先实行高中阶段免学费教育。</w:t>
      </w:r>
    </w:p>
    <w:p w14:paraId="128268A3">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文体事业蓬勃发展</w:t>
      </w:r>
      <w:r>
        <w:rPr>
          <w:rFonts w:hint="eastAsia" w:ascii="仿宋_GB2312" w:hAnsi="仿宋_GB2312" w:eastAsia="仿宋_GB2312" w:cs="仿宋_GB2312"/>
          <w:color w:val="000000" w:themeColor="text1"/>
          <w:sz w:val="28"/>
          <w:szCs w:val="28"/>
          <w14:textFill>
            <w14:solidFill>
              <w14:schemeClr w14:val="tx1"/>
            </w14:solidFill>
          </w14:textFill>
        </w:rPr>
        <w:t>。“十三五”期间，先后建成文化馆、图书馆、清河大剧院、赵立江文化大院、大运河武术非遗活动基地等一批文化基础设施，创新开展“一月一剧”“文化直通车”公益助演活动，成功举办全国京剧票友邀请赛、清河文化全国楹联大赛、清河大讲堂等品牌文化活动；全县3</w:t>
      </w:r>
      <w:r>
        <w:rPr>
          <w:rFonts w:ascii="仿宋_GB2312" w:hAnsi="仿宋_GB2312" w:eastAsia="仿宋_GB2312" w:cs="仿宋_GB2312"/>
          <w:color w:val="000000" w:themeColor="text1"/>
          <w:sz w:val="28"/>
          <w:szCs w:val="28"/>
          <w14:textFill>
            <w14:solidFill>
              <w14:schemeClr w14:val="tx1"/>
            </w14:solidFill>
          </w14:textFill>
        </w:rPr>
        <w:t>22</w:t>
      </w:r>
      <w:r>
        <w:rPr>
          <w:rFonts w:hint="eastAsia" w:ascii="仿宋_GB2312" w:hAnsi="仿宋_GB2312" w:eastAsia="仿宋_GB2312" w:cs="仿宋_GB2312"/>
          <w:color w:val="000000" w:themeColor="text1"/>
          <w:sz w:val="28"/>
          <w:szCs w:val="28"/>
          <w14:textFill>
            <w14:solidFill>
              <w14:schemeClr w14:val="tx1"/>
            </w14:solidFill>
          </w14:textFill>
        </w:rPr>
        <w:t>个村建成村级综合文化服务中心，顺利通过首批省级公共文化服务体系示范区建设验收。建成滑冰场、运动场、足球场等运动场所12所，完善城乡健身广场377处，全力推进冰雪运动，成功举办“首届冰雪运动会”，群众文化体育活动日益丰富。</w:t>
      </w:r>
    </w:p>
    <w:p w14:paraId="48124529">
      <w:pPr>
        <w:pStyle w:val="5"/>
        <w:keepNext w:val="0"/>
        <w:keepLines w:val="0"/>
        <w:pageBreakBefore w:val="0"/>
        <w:widowControl w:val="0"/>
        <w:kinsoku/>
        <w:wordWrap/>
        <w:overflowPunct/>
        <w:topLinePunct w:val="0"/>
        <w:autoSpaceDE/>
        <w:autoSpaceDN/>
        <w:bidi w:val="0"/>
        <w:adjustRightInd/>
        <w:snapToGrid/>
        <w:spacing w:before="0" w:after="0" w:line="560" w:lineRule="exact"/>
        <w:ind w:firstLine="560" w:firstLineChars="200"/>
        <w:textAlignment w:val="auto"/>
        <w:rPr>
          <w:rFonts w:ascii="黑体" w:hAnsi="黑体" w:eastAsia="黑体"/>
          <w:b w:val="0"/>
          <w:bCs w:val="0"/>
          <w:color w:val="000000" w:themeColor="text1"/>
          <w:sz w:val="28"/>
          <w:szCs w:val="28"/>
          <w14:textFill>
            <w14:solidFill>
              <w14:schemeClr w14:val="tx1"/>
            </w14:solidFill>
          </w14:textFill>
        </w:rPr>
      </w:pPr>
      <w:bookmarkStart w:id="71" w:name="_Toc5337"/>
      <w:bookmarkStart w:id="72" w:name="_Toc32527"/>
      <w:bookmarkStart w:id="73" w:name="_Toc26866"/>
      <w:r>
        <w:rPr>
          <w:rFonts w:hint="eastAsia" w:ascii="黑体" w:hAnsi="黑体" w:eastAsia="黑体"/>
          <w:b w:val="0"/>
          <w:bCs w:val="0"/>
          <w:color w:val="000000" w:themeColor="text1"/>
          <w:sz w:val="28"/>
          <w:szCs w:val="28"/>
          <w14:textFill>
            <w14:solidFill>
              <w14:schemeClr w14:val="tx1"/>
            </w14:solidFill>
          </w14:textFill>
        </w:rPr>
        <w:t>九、社会大局和谐稳定，平安清河持续深化</w:t>
      </w:r>
      <w:bookmarkEnd w:id="71"/>
      <w:bookmarkEnd w:id="72"/>
      <w:bookmarkEnd w:id="73"/>
    </w:p>
    <w:p w14:paraId="76A629AC">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ascii="仿宋_GB2312" w:hAnsi="仿宋_GB2312" w:eastAsia="仿宋_GB2312" w:cs="仿宋_GB2312"/>
          <w:color w:val="000000" w:themeColor="text1"/>
          <w:kern w:val="2"/>
          <w:sz w:val="28"/>
          <w:szCs w:val="28"/>
          <w14:textFill>
            <w14:solidFill>
              <w14:schemeClr w14:val="tx1"/>
            </w14:solidFill>
          </w14:textFill>
        </w:rPr>
      </w:pPr>
      <w:r>
        <w:rPr>
          <w:rFonts w:hint="eastAsia" w:ascii="仿宋_GB2312" w:hAnsi="仿宋_GB2312" w:eastAsia="仿宋_GB2312" w:cs="仿宋_GB2312"/>
          <w:color w:val="000000" w:themeColor="text1"/>
          <w:kern w:val="2"/>
          <w:sz w:val="28"/>
          <w:szCs w:val="28"/>
          <w14:textFill>
            <w14:solidFill>
              <w14:schemeClr w14:val="tx1"/>
            </w14:solidFill>
          </w14:textFill>
        </w:rPr>
        <w:t>完善安全生产监管体系，建立安全生产“双控”机制。完善食药安全现代化治理体系，突出重点领域监管。健全矛盾纠纷排查化解机制，“鉴调一体”矛盾纠纷化解模式在全省推广，社会大局保持和谐稳定。深入推进新时代文明实践中心国家级试点建设，成功创建省级文明县城，社会文明程度不断提升。深入开展扫黑除恶专项斗争，取得良好成效，平安建设工作位居全市前列，被评为“全国法治县创建先进单位”。</w:t>
      </w:r>
    </w:p>
    <w:p w14:paraId="224C0594">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ascii="仿宋_GB2312" w:hAnsi="Times New Roman" w:eastAsia="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2"/>
          <w:sz w:val="28"/>
          <w:szCs w:val="28"/>
          <w14:textFill>
            <w14:solidFill>
              <w14:schemeClr w14:val="tx1"/>
            </w14:solidFill>
          </w14:textFill>
        </w:rPr>
        <w:t>特别是面对新冠疫情的冲击和挑战，广大医务工作者白衣执甲，奋战在抗疫一线，4名医护人员逆行出征，驰援武汉，为打赢武汉保卫战做出了清河贡献。全县党员干部冲锋在前、奋勇当先，广大公安干警、志愿者坚守岗位，投身前沿，社会各界义举善行，共同铸就了阻击疫情的钢铁防线，切实守护了人民群众生命安全和身体健康。</w:t>
      </w:r>
      <w:r>
        <w:rPr>
          <w:rFonts w:hint="eastAsia" w:ascii="仿宋_GB2312" w:hAnsi="Times New Roman" w:eastAsia="仿宋_GB2312"/>
          <w:color w:val="000000" w:themeColor="text1"/>
          <w:sz w:val="32"/>
          <w:szCs w:val="32"/>
          <w14:textFill>
            <w14:solidFill>
              <w14:schemeClr w14:val="tx1"/>
            </w14:solidFill>
          </w14:textFill>
        </w:rPr>
        <w:br w:type="page"/>
      </w:r>
    </w:p>
    <w:p w14:paraId="7FF2B221">
      <w:pPr>
        <w:pStyle w:val="4"/>
        <w:keepNext w:val="0"/>
        <w:keepLines w:val="0"/>
        <w:pageBreakBefore w:val="0"/>
        <w:widowControl w:val="0"/>
        <w:numPr>
          <w:ilvl w:val="0"/>
          <w:numId w:val="1"/>
        </w:numPr>
        <w:kinsoku/>
        <w:wordWrap/>
        <w:overflowPunct/>
        <w:topLinePunct w:val="0"/>
        <w:autoSpaceDE/>
        <w:autoSpaceDN/>
        <w:bidi w:val="0"/>
        <w:spacing w:before="0" w:after="0" w:line="600" w:lineRule="exact"/>
        <w:jc w:val="center"/>
        <w:textAlignment w:val="auto"/>
        <w:rPr>
          <w:rFonts w:ascii="宋体" w:hAnsi="宋体" w:eastAsia="宋体" w:cs="宋体"/>
          <w:color w:val="000000" w:themeColor="text1"/>
          <w:sz w:val="36"/>
          <w:szCs w:val="20"/>
          <w14:textFill>
            <w14:solidFill>
              <w14:schemeClr w14:val="tx1"/>
            </w14:solidFill>
          </w14:textFill>
        </w:rPr>
      </w:pPr>
      <w:bookmarkStart w:id="74" w:name="_Toc6584"/>
      <w:bookmarkStart w:id="75" w:name="_Toc18291"/>
      <w:r>
        <w:rPr>
          <w:rFonts w:hint="eastAsia" w:ascii="宋体" w:hAnsi="宋体" w:eastAsia="宋体" w:cs="宋体"/>
          <w:color w:val="000000" w:themeColor="text1"/>
          <w:sz w:val="36"/>
          <w:szCs w:val="20"/>
          <w14:textFill>
            <w14:solidFill>
              <w14:schemeClr w14:val="tx1"/>
            </w14:solidFill>
          </w14:textFill>
        </w:rPr>
        <w:t xml:space="preserve"> </w:t>
      </w:r>
      <w:bookmarkStart w:id="76" w:name="_Toc2466"/>
      <w:r>
        <w:rPr>
          <w:rFonts w:hint="eastAsia" w:ascii="宋体" w:hAnsi="宋体" w:eastAsia="宋体" w:cs="宋体"/>
          <w:color w:val="000000" w:themeColor="text1"/>
          <w:sz w:val="36"/>
          <w:szCs w:val="20"/>
          <w14:textFill>
            <w14:solidFill>
              <w14:schemeClr w14:val="tx1"/>
            </w14:solidFill>
          </w14:textFill>
        </w:rPr>
        <w:t>“十四五”时期面临的机遇与挑战</w:t>
      </w:r>
      <w:bookmarkEnd w:id="74"/>
      <w:bookmarkEnd w:id="75"/>
      <w:bookmarkEnd w:id="76"/>
    </w:p>
    <w:p w14:paraId="4F6D706A">
      <w:pPr>
        <w:keepNext w:val="0"/>
        <w:keepLines w:val="0"/>
        <w:pageBreakBefore w:val="0"/>
        <w:widowControl w:val="0"/>
        <w:kinsoku/>
        <w:wordWrap/>
        <w:overflowPunct/>
        <w:topLinePunct w:val="0"/>
        <w:autoSpaceDE/>
        <w:autoSpaceDN/>
        <w:bidi w:val="0"/>
        <w:textAlignment w:val="auto"/>
        <w:rPr>
          <w:color w:val="000000" w:themeColor="text1"/>
          <w14:textFill>
            <w14:solidFill>
              <w14:schemeClr w14:val="tx1"/>
            </w14:solidFill>
          </w14:textFill>
        </w:rPr>
      </w:pPr>
    </w:p>
    <w:p w14:paraId="1AC86CA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“十四五”时期，纵观国内外发展环境，清河发展既面临历史性新机遇，也面临新挑战。</w:t>
      </w:r>
    </w:p>
    <w:p w14:paraId="3A62D124">
      <w:pPr>
        <w:pStyle w:val="5"/>
        <w:keepNext w:val="0"/>
        <w:keepLines w:val="0"/>
        <w:pageBreakBefore w:val="0"/>
        <w:widowControl w:val="0"/>
        <w:kinsoku/>
        <w:wordWrap/>
        <w:overflowPunct/>
        <w:topLinePunct w:val="0"/>
        <w:autoSpaceDE/>
        <w:autoSpaceDN/>
        <w:bidi w:val="0"/>
        <w:adjustRightInd/>
        <w:snapToGrid/>
        <w:spacing w:before="0" w:after="0" w:line="560" w:lineRule="exact"/>
        <w:ind w:firstLine="560" w:firstLineChars="200"/>
        <w:textAlignment w:val="auto"/>
        <w:rPr>
          <w:rFonts w:ascii="黑体" w:hAnsi="黑体" w:eastAsia="黑体"/>
          <w:b w:val="0"/>
          <w:bCs w:val="0"/>
          <w:color w:val="000000" w:themeColor="text1"/>
          <w:sz w:val="28"/>
          <w:szCs w:val="28"/>
          <w14:textFill>
            <w14:solidFill>
              <w14:schemeClr w14:val="tx1"/>
            </w14:solidFill>
          </w14:textFill>
        </w:rPr>
      </w:pPr>
      <w:bookmarkStart w:id="77" w:name="_Toc24785"/>
      <w:bookmarkStart w:id="78" w:name="_Toc10567"/>
      <w:bookmarkStart w:id="79" w:name="_Toc2514"/>
      <w:r>
        <w:rPr>
          <w:rFonts w:hint="eastAsia" w:ascii="黑体" w:hAnsi="黑体" w:eastAsia="黑体"/>
          <w:b w:val="0"/>
          <w:bCs w:val="0"/>
          <w:color w:val="000000" w:themeColor="text1"/>
          <w:sz w:val="28"/>
          <w:szCs w:val="28"/>
          <w14:textFill>
            <w14:solidFill>
              <w14:schemeClr w14:val="tx1"/>
            </w14:solidFill>
          </w14:textFill>
        </w:rPr>
        <w:t>一、面临机遇</w:t>
      </w:r>
      <w:bookmarkEnd w:id="77"/>
      <w:bookmarkEnd w:id="78"/>
      <w:bookmarkEnd w:id="79"/>
    </w:p>
    <w:p w14:paraId="66FB42B9">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ascii="Times New Roman" w:hAnsi="Times New Roman" w:eastAsia="仿宋_GB2312" w:cs="Times New Roman"/>
          <w:color w:val="000000" w:themeColor="text1"/>
          <w:kern w:val="2"/>
          <w:sz w:val="28"/>
          <w:szCs w:val="28"/>
          <w14:textFill>
            <w14:solidFill>
              <w14:schemeClr w14:val="tx1"/>
            </w14:solidFill>
          </w14:textFill>
        </w:rPr>
      </w:pPr>
      <w:r>
        <w:rPr>
          <w:rFonts w:hint="eastAsia" w:ascii="Times New Roman" w:hAnsi="Times New Roman" w:eastAsia="仿宋_GB2312" w:cs="Times New Roman"/>
          <w:color w:val="000000" w:themeColor="text1"/>
          <w:kern w:val="2"/>
          <w:sz w:val="28"/>
          <w:szCs w:val="28"/>
          <w14:textFill>
            <w14:solidFill>
              <w14:schemeClr w14:val="tx1"/>
            </w14:solidFill>
          </w14:textFill>
        </w:rPr>
        <w:t>“</w:t>
      </w:r>
      <w:r>
        <w:rPr>
          <w:rFonts w:ascii="Times New Roman" w:hAnsi="Times New Roman" w:eastAsia="仿宋_GB2312" w:cs="Times New Roman"/>
          <w:color w:val="000000" w:themeColor="text1"/>
          <w:kern w:val="2"/>
          <w:sz w:val="28"/>
          <w:szCs w:val="28"/>
          <w14:textFill>
            <w14:solidFill>
              <w14:schemeClr w14:val="tx1"/>
            </w14:solidFill>
          </w14:textFill>
        </w:rPr>
        <w:t>十四五</w:t>
      </w:r>
      <w:r>
        <w:rPr>
          <w:rFonts w:hint="eastAsia" w:ascii="Times New Roman" w:hAnsi="Times New Roman" w:eastAsia="仿宋_GB2312" w:cs="Times New Roman"/>
          <w:color w:val="000000" w:themeColor="text1"/>
          <w:kern w:val="2"/>
          <w:sz w:val="28"/>
          <w:szCs w:val="28"/>
          <w14:textFill>
            <w14:solidFill>
              <w14:schemeClr w14:val="tx1"/>
            </w14:solidFill>
          </w14:textFill>
        </w:rPr>
        <w:t>”</w:t>
      </w:r>
      <w:r>
        <w:rPr>
          <w:rFonts w:ascii="Times New Roman" w:hAnsi="Times New Roman" w:eastAsia="仿宋_GB2312" w:cs="Times New Roman"/>
          <w:color w:val="000000" w:themeColor="text1"/>
          <w:kern w:val="2"/>
          <w:sz w:val="28"/>
          <w:szCs w:val="28"/>
          <w14:textFill>
            <w14:solidFill>
              <w14:schemeClr w14:val="tx1"/>
            </w14:solidFill>
          </w14:textFill>
        </w:rPr>
        <w:t>时期</w:t>
      </w:r>
      <w:r>
        <w:rPr>
          <w:rFonts w:hint="eastAsia" w:ascii="Times New Roman" w:hAnsi="Times New Roman" w:eastAsia="仿宋_GB2312" w:cs="Times New Roman"/>
          <w:color w:val="000000" w:themeColor="text1"/>
          <w:kern w:val="2"/>
          <w:sz w:val="28"/>
          <w:szCs w:val="28"/>
          <w14:textFill>
            <w14:solidFill>
              <w14:schemeClr w14:val="tx1"/>
            </w14:solidFill>
          </w14:textFill>
        </w:rPr>
        <w:t>，</w:t>
      </w:r>
      <w:r>
        <w:rPr>
          <w:rFonts w:ascii="Times New Roman" w:hAnsi="Times New Roman" w:eastAsia="仿宋_GB2312" w:cs="Times New Roman"/>
          <w:color w:val="000000" w:themeColor="text1"/>
          <w:kern w:val="2"/>
          <w:sz w:val="28"/>
          <w:szCs w:val="28"/>
          <w14:textFill>
            <w14:solidFill>
              <w14:schemeClr w14:val="tx1"/>
            </w14:solidFill>
          </w14:textFill>
        </w:rPr>
        <w:t>将是</w:t>
      </w:r>
      <w:r>
        <w:rPr>
          <w:rFonts w:hint="eastAsia" w:ascii="Times New Roman" w:hAnsi="Times New Roman" w:eastAsia="仿宋_GB2312" w:cs="Times New Roman"/>
          <w:color w:val="000000" w:themeColor="text1"/>
          <w:kern w:val="2"/>
          <w:sz w:val="28"/>
          <w:szCs w:val="28"/>
          <w14:textFill>
            <w14:solidFill>
              <w14:schemeClr w14:val="tx1"/>
            </w14:solidFill>
          </w14:textFill>
        </w:rPr>
        <w:t>清河</w:t>
      </w:r>
      <w:r>
        <w:rPr>
          <w:rFonts w:ascii="Times New Roman" w:hAnsi="Times New Roman" w:eastAsia="仿宋_GB2312" w:cs="Times New Roman"/>
          <w:color w:val="000000" w:themeColor="text1"/>
          <w:kern w:val="2"/>
          <w:sz w:val="28"/>
          <w:szCs w:val="28"/>
          <w14:textFill>
            <w14:solidFill>
              <w14:schemeClr w14:val="tx1"/>
            </w14:solidFill>
          </w14:textFill>
        </w:rPr>
        <w:t>县大有可为的战略机遇期和高质量赶超发展的窗口期。</w:t>
      </w:r>
    </w:p>
    <w:p w14:paraId="13B91603">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b/>
          <w:bCs/>
          <w:color w:val="000000" w:themeColor="text1"/>
          <w:sz w:val="28"/>
          <w:szCs w:val="28"/>
          <w14:textFill>
            <w14:solidFill>
              <w14:schemeClr w14:val="tx1"/>
            </w14:solidFill>
          </w14:textFill>
        </w:rPr>
        <w:t>一是</w:t>
      </w:r>
      <w:r>
        <w:rPr>
          <w:rFonts w:ascii="Times New Roman" w:hAnsi="Times New Roman" w:eastAsia="仿宋_GB2312" w:cs="Times New Roman"/>
          <w:color w:val="000000" w:themeColor="text1"/>
          <w:sz w:val="28"/>
          <w:szCs w:val="28"/>
          <w14:textFill>
            <w14:solidFill>
              <w14:schemeClr w14:val="tx1"/>
            </w14:solidFill>
          </w14:textFill>
        </w:rPr>
        <w:t>新一轮科技革命和产业变革向纵深推进，为清河催生新的经济增长动能，实现创新发展、弯道超车提供了难得机遇。</w:t>
      </w:r>
      <w:r>
        <w:rPr>
          <w:rFonts w:ascii="Times New Roman" w:hAnsi="Times New Roman" w:eastAsia="仿宋_GB2312" w:cs="Times New Roman"/>
          <w:b/>
          <w:bCs/>
          <w:color w:val="000000" w:themeColor="text1"/>
          <w:sz w:val="28"/>
          <w:szCs w:val="28"/>
          <w14:textFill>
            <w14:solidFill>
              <w14:schemeClr w14:val="tx1"/>
            </w14:solidFill>
          </w14:textFill>
        </w:rPr>
        <w:t>二是</w:t>
      </w:r>
      <w:r>
        <w:rPr>
          <w:rFonts w:ascii="Times New Roman" w:hAnsi="Times New Roman" w:eastAsia="仿宋_GB2312" w:cs="Times New Roman"/>
          <w:color w:val="000000" w:themeColor="text1"/>
          <w:sz w:val="28"/>
          <w:szCs w:val="28"/>
          <w14:textFill>
            <w14:solidFill>
              <w14:schemeClr w14:val="tx1"/>
            </w14:solidFill>
          </w14:textFill>
        </w:rPr>
        <w:t>全球价值链加速重构，为清河承接产业转移，实现转型升级，迈向产业链中高端提供了重要契机。</w:t>
      </w:r>
      <w:r>
        <w:rPr>
          <w:rFonts w:ascii="Times New Roman" w:hAnsi="Times New Roman" w:eastAsia="仿宋_GB2312" w:cs="Times New Roman"/>
          <w:b/>
          <w:bCs/>
          <w:color w:val="000000" w:themeColor="text1"/>
          <w:sz w:val="28"/>
          <w:szCs w:val="28"/>
          <w14:textFill>
            <w14:solidFill>
              <w14:schemeClr w14:val="tx1"/>
            </w14:solidFill>
          </w14:textFill>
        </w:rPr>
        <w:t>三是</w:t>
      </w:r>
      <w:r>
        <w:rPr>
          <w:rFonts w:ascii="Times New Roman" w:hAnsi="Times New Roman" w:eastAsia="仿宋_GB2312" w:cs="Times New Roman"/>
          <w:color w:val="000000" w:themeColor="text1"/>
          <w:sz w:val="28"/>
          <w:szCs w:val="28"/>
          <w14:textFill>
            <w14:solidFill>
              <w14:schemeClr w14:val="tx1"/>
            </w14:solidFill>
          </w14:textFill>
        </w:rPr>
        <w:t>“以国内大循环为主体、国内国际双循环相互促进”的新发展格局，将进一步激发国内的投资和消费活力，投资尤其是新基建将会为清河</w:t>
      </w:r>
      <w:r>
        <w:rPr>
          <w:rFonts w:hint="eastAsia" w:ascii="Times New Roman" w:hAnsi="Times New Roman" w:eastAsia="仿宋_GB2312" w:cs="Times New Roman"/>
          <w:color w:val="000000" w:themeColor="text1"/>
          <w:sz w:val="28"/>
          <w:szCs w:val="28"/>
          <w14:textFill>
            <w14:solidFill>
              <w14:schemeClr w14:val="tx1"/>
            </w14:solidFill>
          </w14:textFill>
        </w:rPr>
        <w:t>特色产业</w:t>
      </w:r>
      <w:r>
        <w:rPr>
          <w:rFonts w:ascii="Times New Roman" w:hAnsi="Times New Roman" w:eastAsia="仿宋_GB2312" w:cs="Times New Roman"/>
          <w:color w:val="000000" w:themeColor="text1"/>
          <w:sz w:val="28"/>
          <w:szCs w:val="28"/>
          <w14:textFill>
            <w14:solidFill>
              <w14:schemeClr w14:val="tx1"/>
            </w14:solidFill>
          </w14:textFill>
        </w:rPr>
        <w:t>带来发展机遇，扩大消费将会为清河本土品牌崛起提供机会。</w:t>
      </w:r>
      <w:r>
        <w:rPr>
          <w:rFonts w:ascii="Times New Roman" w:hAnsi="Times New Roman" w:eastAsia="仿宋_GB2312" w:cs="Times New Roman"/>
          <w:b/>
          <w:bCs/>
          <w:color w:val="000000" w:themeColor="text1"/>
          <w:sz w:val="28"/>
          <w:szCs w:val="28"/>
          <w14:textFill>
            <w14:solidFill>
              <w14:schemeClr w14:val="tx1"/>
            </w14:solidFill>
          </w14:textFill>
        </w:rPr>
        <w:t>四是</w:t>
      </w:r>
      <w:r>
        <w:rPr>
          <w:rFonts w:ascii="Times New Roman" w:hAnsi="Times New Roman" w:eastAsia="仿宋_GB2312" w:cs="Times New Roman"/>
          <w:color w:val="000000" w:themeColor="text1"/>
          <w:sz w:val="28"/>
          <w:szCs w:val="28"/>
          <w14:textFill>
            <w14:solidFill>
              <w14:schemeClr w14:val="tx1"/>
            </w14:solidFill>
          </w14:textFill>
        </w:rPr>
        <w:t>京津冀协同发展和雄安新区加快建设，</w:t>
      </w:r>
      <w:r>
        <w:rPr>
          <w:rFonts w:hint="eastAsia" w:ascii="Times New Roman" w:hAnsi="Times New Roman" w:eastAsia="仿宋_GB2312" w:cs="Times New Roman"/>
          <w:color w:val="000000" w:themeColor="text1"/>
          <w:sz w:val="28"/>
          <w:szCs w:val="28"/>
          <w14:textFill>
            <w14:solidFill>
              <w14:schemeClr w14:val="tx1"/>
            </w14:solidFill>
          </w14:textFill>
        </w:rPr>
        <w:t>为清河承接产业转移、开展区域间产能合作提供了重要机遇。</w:t>
      </w:r>
      <w:r>
        <w:rPr>
          <w:rFonts w:hint="eastAsia" w:ascii="仿宋_GB2312" w:hAnsi="Times New Roman" w:eastAsia="仿宋_GB2312" w:cs="宋体"/>
          <w:b/>
          <w:color w:val="000000" w:themeColor="text1"/>
          <w:kern w:val="0"/>
          <w:sz w:val="28"/>
          <w:szCs w:val="28"/>
          <w14:textFill>
            <w14:solidFill>
              <w14:schemeClr w14:val="tx1"/>
            </w14:solidFill>
          </w14:textFill>
        </w:rPr>
        <w:t>五是</w:t>
      </w:r>
      <w:r>
        <w:rPr>
          <w:rFonts w:hint="eastAsia" w:ascii="Times New Roman" w:hAnsi="Times New Roman" w:eastAsia="仿宋_GB2312" w:cs="Times New Roman"/>
          <w:color w:val="000000" w:themeColor="text1"/>
          <w:sz w:val="28"/>
          <w:szCs w:val="28"/>
          <w14:textFill>
            <w14:solidFill>
              <w14:schemeClr w14:val="tx1"/>
            </w14:solidFill>
          </w14:textFill>
        </w:rPr>
        <w:t>雄商高铁的开工建设运营及清河设站，将为清河搭建直通雄安、沟通南北的区位交通优势，将会有力推动清河进一步对接雄安新区建设，承接京津冀产业转移。</w:t>
      </w:r>
      <w:r>
        <w:rPr>
          <w:rFonts w:hint="eastAsia" w:ascii="仿宋_GB2312" w:hAnsi="Times New Roman" w:eastAsia="仿宋_GB2312" w:cs="宋体"/>
          <w:b/>
          <w:color w:val="000000" w:themeColor="text1"/>
          <w:kern w:val="0"/>
          <w:sz w:val="28"/>
          <w:szCs w:val="28"/>
          <w14:textFill>
            <w14:solidFill>
              <w14:schemeClr w14:val="tx1"/>
            </w14:solidFill>
          </w14:textFill>
        </w:rPr>
        <w:t>六是</w:t>
      </w:r>
      <w:r>
        <w:rPr>
          <w:rFonts w:hint="eastAsia" w:ascii="仿宋_GB2312" w:hAnsi="Times New Roman" w:eastAsia="仿宋_GB2312" w:cs="宋体"/>
          <w:bCs/>
          <w:color w:val="000000" w:themeColor="text1"/>
          <w:kern w:val="0"/>
          <w:sz w:val="28"/>
          <w:szCs w:val="28"/>
          <w14:textFill>
            <w14:solidFill>
              <w14:schemeClr w14:val="tx1"/>
            </w14:solidFill>
          </w14:textFill>
        </w:rPr>
        <w:t>国家《</w:t>
      </w:r>
      <w:r>
        <w:rPr>
          <w:rFonts w:hint="eastAsia" w:ascii="Times New Roman" w:hAnsi="Times New Roman" w:eastAsia="仿宋_GB2312" w:cs="Times New Roman"/>
          <w:bCs/>
          <w:color w:val="000000" w:themeColor="text1"/>
          <w:sz w:val="28"/>
          <w:szCs w:val="28"/>
          <w14:textFill>
            <w14:solidFill>
              <w14:schemeClr w14:val="tx1"/>
            </w14:solidFill>
          </w14:textFill>
        </w:rPr>
        <w:t>大运河文化保护传承利用规划纲要</w:t>
      </w:r>
      <w:r>
        <w:rPr>
          <w:rFonts w:hint="eastAsia" w:ascii="仿宋_GB2312" w:hAnsi="Times New Roman" w:eastAsia="仿宋_GB2312" w:cs="宋体"/>
          <w:bCs/>
          <w:color w:val="000000" w:themeColor="text1"/>
          <w:kern w:val="0"/>
          <w:sz w:val="28"/>
          <w:szCs w:val="28"/>
          <w14:textFill>
            <w14:solidFill>
              <w14:schemeClr w14:val="tx1"/>
            </w14:solidFill>
          </w14:textFill>
        </w:rPr>
        <w:t>》</w:t>
      </w:r>
      <w:r>
        <w:rPr>
          <w:rFonts w:hint="eastAsia" w:ascii="Times New Roman" w:hAnsi="Times New Roman" w:eastAsia="仿宋_GB2312" w:cs="Times New Roman"/>
          <w:color w:val="000000" w:themeColor="text1"/>
          <w:sz w:val="28"/>
          <w:szCs w:val="28"/>
          <w14:textFill>
            <w14:solidFill>
              <w14:schemeClr w14:val="tx1"/>
            </w14:solidFill>
          </w14:textFill>
        </w:rPr>
        <w:t>推进实施，将为清河经济社会和文化事业发展带来战略机遇。</w:t>
      </w:r>
    </w:p>
    <w:p w14:paraId="63744D32">
      <w:pPr>
        <w:pStyle w:val="5"/>
        <w:keepNext w:val="0"/>
        <w:keepLines w:val="0"/>
        <w:pageBreakBefore w:val="0"/>
        <w:widowControl w:val="0"/>
        <w:kinsoku/>
        <w:wordWrap/>
        <w:overflowPunct/>
        <w:topLinePunct w:val="0"/>
        <w:autoSpaceDE/>
        <w:autoSpaceDN/>
        <w:bidi w:val="0"/>
        <w:adjustRightInd/>
        <w:snapToGrid/>
        <w:spacing w:before="0" w:after="0" w:line="560" w:lineRule="exact"/>
        <w:ind w:firstLine="560" w:firstLineChars="200"/>
        <w:textAlignment w:val="auto"/>
        <w:rPr>
          <w:rFonts w:ascii="黑体" w:hAnsi="黑体" w:eastAsia="黑体"/>
          <w:b w:val="0"/>
          <w:bCs w:val="0"/>
          <w:color w:val="000000" w:themeColor="text1"/>
          <w:sz w:val="28"/>
          <w:szCs w:val="28"/>
          <w14:textFill>
            <w14:solidFill>
              <w14:schemeClr w14:val="tx1"/>
            </w14:solidFill>
          </w14:textFill>
        </w:rPr>
      </w:pPr>
      <w:bookmarkStart w:id="80" w:name="_Toc25082"/>
      <w:bookmarkStart w:id="81" w:name="_Toc7464"/>
      <w:bookmarkStart w:id="82" w:name="_Toc20961"/>
      <w:r>
        <w:rPr>
          <w:rFonts w:hint="eastAsia" w:ascii="黑体" w:hAnsi="黑体" w:eastAsia="黑体"/>
          <w:b w:val="0"/>
          <w:bCs w:val="0"/>
          <w:color w:val="000000" w:themeColor="text1"/>
          <w:sz w:val="28"/>
          <w:szCs w:val="28"/>
          <w14:textFill>
            <w14:solidFill>
              <w14:schemeClr w14:val="tx1"/>
            </w14:solidFill>
          </w14:textFill>
        </w:rPr>
        <w:t>二、严峻挑战</w:t>
      </w:r>
      <w:bookmarkEnd w:id="80"/>
      <w:bookmarkEnd w:id="81"/>
      <w:bookmarkEnd w:id="82"/>
    </w:p>
    <w:p w14:paraId="0BD8D43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在看到有利条件的同时，必须清醒地认识到，未来五年，清河县经济社会发展还面临着许多矛盾和挑战。</w:t>
      </w:r>
      <w:r>
        <w:rPr>
          <w:rFonts w:hint="eastAsia" w:ascii="Times New Roman" w:hAnsi="Times New Roman" w:eastAsia="仿宋_GB2312" w:cs="Times New Roman"/>
          <w:b/>
          <w:bCs/>
          <w:color w:val="000000" w:themeColor="text1"/>
          <w:sz w:val="28"/>
          <w:szCs w:val="28"/>
          <w14:textFill>
            <w14:solidFill>
              <w14:schemeClr w14:val="tx1"/>
            </w14:solidFill>
          </w14:textFill>
        </w:rPr>
        <w:t>一是</w:t>
      </w:r>
      <w:r>
        <w:rPr>
          <w:rFonts w:hint="eastAsia" w:ascii="Times New Roman" w:hAnsi="Times New Roman" w:eastAsia="仿宋_GB2312" w:cs="Times New Roman"/>
          <w:color w:val="000000" w:themeColor="text1"/>
          <w:sz w:val="28"/>
          <w:szCs w:val="28"/>
          <w14:textFill>
            <w14:solidFill>
              <w14:schemeClr w14:val="tx1"/>
            </w14:solidFill>
          </w14:textFill>
        </w:rPr>
        <w:t>全球经贸格局巨变、贸易紧张关系升级和政策不确定性增加，不利于清河进一步扩大对外经贸合作。</w:t>
      </w:r>
      <w:r>
        <w:rPr>
          <w:rFonts w:hint="eastAsia" w:ascii="Times New Roman" w:hAnsi="Times New Roman" w:eastAsia="仿宋_GB2312" w:cs="Times New Roman"/>
          <w:b/>
          <w:bCs/>
          <w:color w:val="000000" w:themeColor="text1"/>
          <w:sz w:val="28"/>
          <w:szCs w:val="28"/>
          <w14:textFill>
            <w14:solidFill>
              <w14:schemeClr w14:val="tx1"/>
            </w14:solidFill>
          </w14:textFill>
        </w:rPr>
        <w:t>二是</w:t>
      </w:r>
      <w:r>
        <w:rPr>
          <w:rFonts w:hint="eastAsia" w:ascii="Times New Roman" w:hAnsi="Times New Roman" w:eastAsia="仿宋_GB2312" w:cs="Times New Roman"/>
          <w:color w:val="000000" w:themeColor="text1"/>
          <w:sz w:val="28"/>
          <w:szCs w:val="28"/>
          <w14:textFill>
            <w14:solidFill>
              <w14:schemeClr w14:val="tx1"/>
            </w14:solidFill>
          </w14:textFill>
        </w:rPr>
        <w:t>世界经济低迷、全球市场萎缩、新冠肺炎疫情对世界经济影响仍将持续，清河拓展海外市场，发展开放型经济面临巨大挑战。</w:t>
      </w:r>
      <w:r>
        <w:rPr>
          <w:rFonts w:hint="eastAsia" w:ascii="Times New Roman" w:hAnsi="Times New Roman" w:eastAsia="仿宋_GB2312" w:cs="Times New Roman"/>
          <w:b/>
          <w:bCs/>
          <w:color w:val="000000" w:themeColor="text1"/>
          <w:sz w:val="28"/>
          <w:szCs w:val="28"/>
          <w14:textFill>
            <w14:solidFill>
              <w14:schemeClr w14:val="tx1"/>
            </w14:solidFill>
          </w14:textFill>
        </w:rPr>
        <w:t>三是</w:t>
      </w:r>
      <w:r>
        <w:rPr>
          <w:rFonts w:hint="eastAsia" w:ascii="Times New Roman" w:hAnsi="Times New Roman" w:eastAsia="仿宋_GB2312" w:cs="Times New Roman"/>
          <w:color w:val="000000" w:themeColor="text1"/>
          <w:sz w:val="28"/>
          <w:szCs w:val="28"/>
          <w14:textFill>
            <w14:solidFill>
              <w14:schemeClr w14:val="tx1"/>
            </w14:solidFill>
          </w14:textFill>
        </w:rPr>
        <w:t>加快转型升级的任务艰巨。我县经济总量不够大，产业升级速度需要加快，高质量招商选资需要有大突破；高科技人才和技能人才紧缺，科技创新能力不足，产业科技水平较低；传统支柱产业面临巨大压力，新的经济增长点还未形成，调整产业结构、加快转型升级的任务越来越迫切。</w:t>
      </w:r>
      <w:r>
        <w:rPr>
          <w:rFonts w:hint="eastAsia" w:ascii="Times New Roman" w:hAnsi="Times New Roman" w:eastAsia="仿宋_GB2312" w:cs="Times New Roman"/>
          <w:b/>
          <w:bCs/>
          <w:color w:val="000000" w:themeColor="text1"/>
          <w:sz w:val="28"/>
          <w:szCs w:val="28"/>
          <w14:textFill>
            <w14:solidFill>
              <w14:schemeClr w14:val="tx1"/>
            </w14:solidFill>
          </w14:textFill>
        </w:rPr>
        <w:t>四是</w:t>
      </w:r>
      <w:r>
        <w:rPr>
          <w:rFonts w:hint="eastAsia" w:ascii="Times New Roman" w:hAnsi="Times New Roman" w:eastAsia="仿宋_GB2312" w:cs="Times New Roman"/>
          <w:color w:val="000000" w:themeColor="text1"/>
          <w:sz w:val="28"/>
          <w:szCs w:val="28"/>
          <w14:textFill>
            <w14:solidFill>
              <w14:schemeClr w14:val="tx1"/>
            </w14:solidFill>
          </w14:textFill>
        </w:rPr>
        <w:t>城乡发展不够协调。城乡建设仍需改善，城乡基础设施不够均衡；农业发展短板仍然较多，农业结构调整速度需要加快，新农村建设任务艰巨而紧迫。</w:t>
      </w:r>
      <w:r>
        <w:rPr>
          <w:rFonts w:hint="eastAsia" w:ascii="Times New Roman" w:hAnsi="Times New Roman" w:eastAsia="仿宋_GB2312" w:cs="Times New Roman"/>
          <w:b/>
          <w:bCs/>
          <w:color w:val="000000" w:themeColor="text1"/>
          <w:sz w:val="28"/>
          <w:szCs w:val="28"/>
          <w14:textFill>
            <w14:solidFill>
              <w14:schemeClr w14:val="tx1"/>
            </w14:solidFill>
          </w14:textFill>
        </w:rPr>
        <w:t>五是</w:t>
      </w:r>
      <w:r>
        <w:rPr>
          <w:rFonts w:hint="eastAsia" w:ascii="Times New Roman" w:hAnsi="Times New Roman" w:eastAsia="仿宋_GB2312" w:cs="Times New Roman"/>
          <w:color w:val="000000" w:themeColor="text1"/>
          <w:sz w:val="28"/>
          <w:szCs w:val="28"/>
          <w14:textFill>
            <w14:solidFill>
              <w14:schemeClr w14:val="tx1"/>
            </w14:solidFill>
          </w14:textFill>
        </w:rPr>
        <w:t>保障和改善民生任务繁重。人民群众的多样化、多层次公共服务需求日益增长，供求矛盾依然存在，统筹协调各方面的利益关系难度较大。</w:t>
      </w:r>
      <w:r>
        <w:rPr>
          <w:rFonts w:hint="eastAsia" w:ascii="Times New Roman" w:hAnsi="Times New Roman" w:eastAsia="仿宋_GB2312" w:cs="Times New Roman"/>
          <w:b/>
          <w:bCs/>
          <w:color w:val="000000" w:themeColor="text1"/>
          <w:sz w:val="28"/>
          <w:szCs w:val="28"/>
          <w14:textFill>
            <w14:solidFill>
              <w14:schemeClr w14:val="tx1"/>
            </w14:solidFill>
          </w14:textFill>
        </w:rPr>
        <w:t>六是</w:t>
      </w:r>
      <w:r>
        <w:rPr>
          <w:rFonts w:hint="eastAsia" w:ascii="Times New Roman" w:hAnsi="Times New Roman" w:eastAsia="仿宋_GB2312" w:cs="Times New Roman"/>
          <w:color w:val="000000" w:themeColor="text1"/>
          <w:sz w:val="28"/>
          <w:szCs w:val="28"/>
          <w14:textFill>
            <w14:solidFill>
              <w14:schemeClr w14:val="tx1"/>
            </w14:solidFill>
          </w14:textFill>
        </w:rPr>
        <w:t>生态环境尚待优化。大气污染防治、水污染治理压力持续。</w:t>
      </w:r>
      <w:r>
        <w:rPr>
          <w:rFonts w:hint="eastAsia" w:ascii="Times New Roman" w:hAnsi="Times New Roman" w:eastAsia="仿宋_GB2312" w:cs="Times New Roman"/>
          <w:b/>
          <w:bCs/>
          <w:color w:val="000000" w:themeColor="text1"/>
          <w:sz w:val="28"/>
          <w:szCs w:val="28"/>
          <w14:textFill>
            <w14:solidFill>
              <w14:schemeClr w14:val="tx1"/>
            </w14:solidFill>
          </w14:textFill>
        </w:rPr>
        <w:t>七是</w:t>
      </w:r>
      <w:r>
        <w:rPr>
          <w:rFonts w:hint="eastAsia" w:ascii="Times New Roman" w:hAnsi="Times New Roman" w:eastAsia="仿宋_GB2312" w:cs="Times New Roman"/>
          <w:color w:val="000000" w:themeColor="text1"/>
          <w:sz w:val="28"/>
          <w:szCs w:val="28"/>
          <w14:textFill>
            <w14:solidFill>
              <w14:schemeClr w14:val="tx1"/>
            </w14:solidFill>
          </w14:textFill>
        </w:rPr>
        <w:t>深化改革任务艰巨。制约经济社会发展的体制机制障碍仍然存在，机制体制的创新不够，开放层次和水平不高。发展软环境不够优化，干部队伍作风和领导推动效能与经济发展还不相适应。</w:t>
      </w:r>
      <w:r>
        <w:rPr>
          <w:rFonts w:hint="eastAsia" w:ascii="Times New Roman" w:hAnsi="Times New Roman" w:eastAsia="仿宋_GB2312" w:cs="Times New Roman"/>
          <w:b/>
          <w:bCs/>
          <w:color w:val="000000" w:themeColor="text1"/>
          <w:sz w:val="28"/>
          <w:szCs w:val="28"/>
          <w14:textFill>
            <w14:solidFill>
              <w14:schemeClr w14:val="tx1"/>
            </w14:solidFill>
          </w14:textFill>
        </w:rPr>
        <w:t>八是</w:t>
      </w:r>
      <w:r>
        <w:rPr>
          <w:rFonts w:hint="eastAsia" w:ascii="Times New Roman" w:hAnsi="Times New Roman" w:eastAsia="仿宋_GB2312" w:cs="Times New Roman"/>
          <w:color w:val="000000" w:themeColor="text1"/>
          <w:sz w:val="28"/>
          <w:szCs w:val="28"/>
          <w14:textFill>
            <w14:solidFill>
              <w14:schemeClr w14:val="tx1"/>
            </w14:solidFill>
          </w14:textFill>
        </w:rPr>
        <w:t>国内区域间要素竞争趋于白热化，清河吸引和集聚先进生产要素面临巨大挑战。</w:t>
      </w:r>
    </w:p>
    <w:p w14:paraId="4E44A20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 w:hAnsi="仿宋" w:eastAsia="仿宋"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全县上下要深刻认识社会主要矛盾变化带来的新特征新要求，深刻认识国际国内环境变化带来的新矛盾新挑战，牢牢把握进入新发展阶段、贯彻新发展理念、构建新发展格局、开启全面建设社会主义现代化国家新征程的丰富内涵和实践要求，增强机遇意识和风险意识，准确识变、科学应变、主动求变，始终坚持“越难越攻坚、越险越争先、越苦越奉献、越强越亮剑”作风，明确目标、坚定方向，攻坚克难、砥砺前行，不断开辟高质量赶超发展新境界。</w:t>
      </w:r>
      <w:r>
        <w:rPr>
          <w:rFonts w:hint="eastAsia" w:ascii="仿宋" w:hAnsi="仿宋" w:eastAsia="仿宋" w:cs="Times New Roman"/>
          <w:color w:val="000000" w:themeColor="text1"/>
          <w:sz w:val="32"/>
          <w:szCs w:val="32"/>
          <w14:textFill>
            <w14:solidFill>
              <w14:schemeClr w14:val="tx1"/>
            </w14:solidFill>
          </w14:textFill>
        </w:rPr>
        <w:br w:type="page"/>
      </w:r>
    </w:p>
    <w:p w14:paraId="2257240D">
      <w:pPr>
        <w:pStyle w:val="4"/>
        <w:keepNext w:val="0"/>
        <w:keepLines w:val="0"/>
        <w:pageBreakBefore w:val="0"/>
        <w:widowControl w:val="0"/>
        <w:kinsoku/>
        <w:wordWrap/>
        <w:overflowPunct/>
        <w:topLinePunct w:val="0"/>
        <w:autoSpaceDE/>
        <w:autoSpaceDN/>
        <w:bidi w:val="0"/>
        <w:spacing w:before="0" w:after="0" w:line="600" w:lineRule="exact"/>
        <w:jc w:val="center"/>
        <w:textAlignment w:val="auto"/>
        <w:rPr>
          <w:rFonts w:ascii="宋体" w:hAnsi="宋体" w:eastAsia="宋体" w:cs="宋体"/>
          <w:color w:val="000000" w:themeColor="text1"/>
          <w:sz w:val="36"/>
          <w:szCs w:val="20"/>
          <w14:textFill>
            <w14:solidFill>
              <w14:schemeClr w14:val="tx1"/>
            </w14:solidFill>
          </w14:textFill>
        </w:rPr>
      </w:pPr>
      <w:bookmarkStart w:id="83" w:name="_Toc8879"/>
      <w:bookmarkStart w:id="84" w:name="_Toc13087"/>
      <w:bookmarkStart w:id="85" w:name="_Toc18444"/>
      <w:bookmarkStart w:id="86" w:name="_Toc324"/>
      <w:r>
        <w:rPr>
          <w:rFonts w:hint="eastAsia" w:ascii="宋体" w:hAnsi="宋体" w:eastAsia="宋体" w:cs="宋体"/>
          <w:color w:val="000000" w:themeColor="text1"/>
          <w:sz w:val="36"/>
          <w:szCs w:val="20"/>
          <w14:textFill>
            <w14:solidFill>
              <w14:schemeClr w14:val="tx1"/>
            </w14:solidFill>
          </w14:textFill>
        </w:rPr>
        <w:t>第三章  “十四五”时期发展的指导思想和</w:t>
      </w:r>
      <w:bookmarkEnd w:id="83"/>
      <w:r>
        <w:rPr>
          <w:rFonts w:hint="eastAsia" w:ascii="宋体" w:hAnsi="宋体" w:eastAsia="宋体" w:cs="宋体"/>
          <w:color w:val="000000" w:themeColor="text1"/>
          <w:sz w:val="36"/>
          <w:szCs w:val="20"/>
          <w14:textFill>
            <w14:solidFill>
              <w14:schemeClr w14:val="tx1"/>
            </w14:solidFill>
          </w14:textFill>
        </w:rPr>
        <w:t>基本要求</w:t>
      </w:r>
      <w:bookmarkEnd w:id="84"/>
      <w:bookmarkEnd w:id="85"/>
      <w:bookmarkEnd w:id="86"/>
    </w:p>
    <w:p w14:paraId="69FFAB27">
      <w:pPr>
        <w:pStyle w:val="5"/>
        <w:keepNext w:val="0"/>
        <w:keepLines w:val="0"/>
        <w:pageBreakBefore w:val="0"/>
        <w:widowControl w:val="0"/>
        <w:kinsoku/>
        <w:wordWrap/>
        <w:overflowPunct/>
        <w:topLinePunct w:val="0"/>
        <w:autoSpaceDE/>
        <w:autoSpaceDN/>
        <w:bidi w:val="0"/>
        <w:spacing w:before="0" w:after="0" w:line="540" w:lineRule="exact"/>
        <w:ind w:firstLine="562" w:firstLineChars="200"/>
        <w:textAlignment w:val="auto"/>
        <w:rPr>
          <w:rFonts w:ascii="楷体" w:hAnsi="楷体" w:eastAsia="楷体" w:cs="楷体"/>
          <w:color w:val="000000" w:themeColor="text1"/>
          <w:sz w:val="28"/>
          <w:szCs w:val="28"/>
          <w14:textFill>
            <w14:solidFill>
              <w14:schemeClr w14:val="tx1"/>
            </w14:solidFill>
          </w14:textFill>
        </w:rPr>
      </w:pPr>
      <w:bookmarkStart w:id="87" w:name="_Toc28249"/>
      <w:bookmarkStart w:id="88" w:name="_Toc32520"/>
      <w:bookmarkStart w:id="89" w:name="_Toc21090"/>
    </w:p>
    <w:p w14:paraId="37080B46">
      <w:pPr>
        <w:pStyle w:val="5"/>
        <w:keepNext w:val="0"/>
        <w:keepLines w:val="0"/>
        <w:pageBreakBefore w:val="0"/>
        <w:widowControl w:val="0"/>
        <w:kinsoku/>
        <w:wordWrap/>
        <w:overflowPunct/>
        <w:topLinePunct w:val="0"/>
        <w:autoSpaceDE/>
        <w:autoSpaceDN/>
        <w:bidi w:val="0"/>
        <w:spacing w:before="0" w:after="0" w:line="540" w:lineRule="exact"/>
        <w:ind w:firstLine="560" w:firstLineChars="200"/>
        <w:textAlignment w:val="auto"/>
        <w:rPr>
          <w:rFonts w:ascii="黑体" w:hAnsi="黑体" w:eastAsia="黑体"/>
          <w:b w:val="0"/>
          <w:bCs w:val="0"/>
          <w:color w:val="000000" w:themeColor="text1"/>
          <w:sz w:val="28"/>
          <w:szCs w:val="28"/>
          <w14:textFill>
            <w14:solidFill>
              <w14:schemeClr w14:val="tx1"/>
            </w14:solidFill>
          </w14:textFill>
        </w:rPr>
      </w:pPr>
      <w:bookmarkStart w:id="90" w:name="_Toc11557"/>
      <w:r>
        <w:rPr>
          <w:rFonts w:hint="eastAsia" w:ascii="黑体" w:hAnsi="黑体" w:eastAsia="黑体"/>
          <w:b w:val="0"/>
          <w:bCs w:val="0"/>
          <w:color w:val="000000" w:themeColor="text1"/>
          <w:sz w:val="28"/>
          <w:szCs w:val="28"/>
          <w14:textFill>
            <w14:solidFill>
              <w14:schemeClr w14:val="tx1"/>
            </w14:solidFill>
          </w14:textFill>
        </w:rPr>
        <w:t>一、指导思想</w:t>
      </w:r>
      <w:bookmarkEnd w:id="87"/>
      <w:bookmarkEnd w:id="88"/>
      <w:bookmarkEnd w:id="89"/>
      <w:bookmarkEnd w:id="90"/>
    </w:p>
    <w:p w14:paraId="4A7B0E35">
      <w:pPr>
        <w:keepNext w:val="0"/>
        <w:keepLines w:val="0"/>
        <w:pageBreakBefore w:val="0"/>
        <w:widowControl w:val="0"/>
        <w:kinsoku/>
        <w:wordWrap/>
        <w:overflowPunct/>
        <w:topLinePunct w:val="0"/>
        <w:autoSpaceDE/>
        <w:autoSpaceDN/>
        <w:bidi w:val="0"/>
        <w:spacing w:line="540" w:lineRule="exact"/>
        <w:ind w:firstLine="560" w:firstLineChars="200"/>
        <w:textAlignment w:val="auto"/>
        <w:rPr>
          <w:rFonts w:ascii="Times New Roman" w:hAnsi="Times New Roman" w:eastAsia="仿宋_GB2312" w:cs="Times New Roman"/>
          <w:color w:val="000000" w:themeColor="text1"/>
          <w:sz w:val="28"/>
          <w:szCs w:val="28"/>
          <w14:textFill>
            <w14:solidFill>
              <w14:schemeClr w14:val="tx1"/>
            </w14:solidFill>
          </w14:textFill>
        </w:rPr>
      </w:pPr>
      <w:bookmarkStart w:id="91" w:name="_Toc20129"/>
      <w:r>
        <w:rPr>
          <w:rFonts w:hint="eastAsia" w:ascii="Times New Roman" w:hAnsi="Times New Roman" w:eastAsia="仿宋_GB2312" w:cs="Times New Roman"/>
          <w:color w:val="000000" w:themeColor="text1"/>
          <w:sz w:val="28"/>
          <w:szCs w:val="28"/>
          <w14:textFill>
            <w14:solidFill>
              <w14:schemeClr w14:val="tx1"/>
            </w14:solidFill>
          </w14:textFill>
        </w:rPr>
        <w:t>高举中国特色社会主义伟大旗帜，深入贯彻落实党的十九大和十九届二中、三中、四中、五中全会精神，省委九届十一次全会、市委九届九次全会精神，坚持以马克思列宁主义、毛泽东思想、邓小平理论、“三个代表”重要思想、科学发展观、习近平新时代中国特色社会主义思想为指导，全面贯彻党的基本理论、基本路线、基本方略，深入落实习近平总书记对河北工作的一系列重要指示批示精神，统筹推进经济建设、政治建设、文化建设、社会建设、生态文明建设的总体布局，协调推进全面建设社会主义现代化国家、全面深化改革、全面依法治国、全面从严治党的战略布局，坚定不移贯彻创新、协调、绿色、开放、共享的新发展理念，坚持稳中求进工作总基调，以推动高质量赶超发展为主题，以深化供给侧结构性改革为主线，以改革创新为根本动力，以满足人民日益增长的美好生活需要为根本目的，</w:t>
      </w:r>
      <w:r>
        <w:rPr>
          <w:rFonts w:ascii="Times New Roman" w:hAnsi="Times New Roman" w:eastAsia="仿宋_GB2312" w:cs="Times New Roman"/>
          <w:color w:val="000000" w:themeColor="text1"/>
          <w:sz w:val="28"/>
          <w:szCs w:val="28"/>
          <w14:textFill>
            <w14:solidFill>
              <w14:schemeClr w14:val="tx1"/>
            </w14:solidFill>
          </w14:textFill>
        </w:rPr>
        <w:t>坚决落实省、市重大决策部署，按照县委</w:t>
      </w:r>
      <w:r>
        <w:rPr>
          <w:rFonts w:hint="eastAsia" w:ascii="Times New Roman" w:hAnsi="Times New Roman" w:eastAsia="仿宋_GB2312" w:cs="Times New Roman"/>
          <w:color w:val="000000" w:themeColor="text1"/>
          <w:sz w:val="28"/>
          <w:szCs w:val="28"/>
          <w14:textFill>
            <w14:solidFill>
              <w14:schemeClr w14:val="tx1"/>
            </w14:solidFill>
          </w14:textFill>
        </w:rPr>
        <w:t>相关</w:t>
      </w:r>
      <w:r>
        <w:rPr>
          <w:rFonts w:ascii="Times New Roman" w:hAnsi="Times New Roman" w:eastAsia="仿宋_GB2312" w:cs="Times New Roman"/>
          <w:color w:val="000000" w:themeColor="text1"/>
          <w:sz w:val="28"/>
          <w:szCs w:val="28"/>
          <w14:textFill>
            <w14:solidFill>
              <w14:schemeClr w14:val="tx1"/>
            </w14:solidFill>
          </w14:textFill>
        </w:rPr>
        <w:t>工作要求，进一步动员全县干部群众，解放思想、抢抓机遇，提质量、</w:t>
      </w:r>
      <w:r>
        <w:rPr>
          <w:rFonts w:hint="eastAsia" w:ascii="Times New Roman" w:hAnsi="Times New Roman" w:eastAsia="仿宋_GB2312" w:cs="Times New Roman"/>
          <w:color w:val="000000" w:themeColor="text1"/>
          <w:sz w:val="28"/>
          <w:szCs w:val="28"/>
          <w14:textFill>
            <w14:solidFill>
              <w14:schemeClr w14:val="tx1"/>
            </w14:solidFill>
          </w14:textFill>
        </w:rPr>
        <w:t>拼</w:t>
      </w:r>
      <w:r>
        <w:rPr>
          <w:rFonts w:ascii="Times New Roman" w:hAnsi="Times New Roman" w:eastAsia="仿宋_GB2312" w:cs="Times New Roman"/>
          <w:color w:val="000000" w:themeColor="text1"/>
          <w:sz w:val="28"/>
          <w:szCs w:val="28"/>
          <w14:textFill>
            <w14:solidFill>
              <w14:schemeClr w14:val="tx1"/>
            </w14:solidFill>
          </w14:textFill>
        </w:rPr>
        <w:t>速度、重实干，加快建设经济强县、美丽</w:t>
      </w:r>
      <w:r>
        <w:rPr>
          <w:rFonts w:hint="eastAsia" w:ascii="Times New Roman" w:hAnsi="Times New Roman" w:eastAsia="仿宋_GB2312" w:cs="Times New Roman"/>
          <w:color w:val="000000" w:themeColor="text1"/>
          <w:sz w:val="28"/>
          <w:szCs w:val="28"/>
          <w14:textFill>
            <w14:solidFill>
              <w14:schemeClr w14:val="tx1"/>
            </w14:solidFill>
          </w14:textFill>
        </w:rPr>
        <w:t>清河</w:t>
      </w:r>
      <w:r>
        <w:rPr>
          <w:rFonts w:ascii="Times New Roman" w:hAnsi="Times New Roman" w:eastAsia="仿宋_GB2312" w:cs="Times New Roman"/>
          <w:color w:val="000000" w:themeColor="text1"/>
          <w:sz w:val="28"/>
          <w:szCs w:val="28"/>
          <w14:textFill>
            <w14:solidFill>
              <w14:schemeClr w14:val="tx1"/>
            </w14:solidFill>
          </w14:textFill>
        </w:rPr>
        <w:t>，奋力开创全县高质量赶超发展新局面。</w:t>
      </w:r>
    </w:p>
    <w:p w14:paraId="3019B634">
      <w:pPr>
        <w:pStyle w:val="5"/>
        <w:keepNext w:val="0"/>
        <w:keepLines w:val="0"/>
        <w:pageBreakBefore w:val="0"/>
        <w:widowControl w:val="0"/>
        <w:kinsoku/>
        <w:wordWrap/>
        <w:overflowPunct/>
        <w:topLinePunct w:val="0"/>
        <w:autoSpaceDE/>
        <w:autoSpaceDN/>
        <w:bidi w:val="0"/>
        <w:spacing w:before="0" w:after="0" w:line="540" w:lineRule="exact"/>
        <w:ind w:firstLine="560" w:firstLineChars="200"/>
        <w:textAlignment w:val="auto"/>
        <w:rPr>
          <w:rFonts w:ascii="黑体" w:hAnsi="黑体" w:eastAsia="黑体"/>
          <w:b w:val="0"/>
          <w:bCs w:val="0"/>
          <w:color w:val="000000" w:themeColor="text1"/>
          <w:sz w:val="28"/>
          <w:szCs w:val="28"/>
          <w14:textFill>
            <w14:solidFill>
              <w14:schemeClr w14:val="tx1"/>
            </w14:solidFill>
          </w14:textFill>
        </w:rPr>
      </w:pPr>
      <w:bookmarkStart w:id="92" w:name="_Toc15931"/>
      <w:bookmarkStart w:id="93" w:name="_Toc6810"/>
      <w:bookmarkStart w:id="94" w:name="_Toc21041"/>
      <w:r>
        <w:rPr>
          <w:rFonts w:hint="eastAsia" w:ascii="黑体" w:hAnsi="黑体" w:eastAsia="黑体"/>
          <w:b w:val="0"/>
          <w:bCs w:val="0"/>
          <w:color w:val="000000" w:themeColor="text1"/>
          <w:sz w:val="28"/>
          <w:szCs w:val="28"/>
          <w14:textFill>
            <w14:solidFill>
              <w14:schemeClr w14:val="tx1"/>
            </w14:solidFill>
          </w14:textFill>
        </w:rPr>
        <w:t>二、基本</w:t>
      </w:r>
      <w:bookmarkEnd w:id="91"/>
      <w:r>
        <w:rPr>
          <w:rFonts w:hint="eastAsia" w:ascii="黑体" w:hAnsi="黑体" w:eastAsia="黑体"/>
          <w:b w:val="0"/>
          <w:bCs w:val="0"/>
          <w:color w:val="000000" w:themeColor="text1"/>
          <w:sz w:val="28"/>
          <w:szCs w:val="28"/>
          <w14:textFill>
            <w14:solidFill>
              <w14:schemeClr w14:val="tx1"/>
            </w14:solidFill>
          </w14:textFill>
        </w:rPr>
        <w:t>要求</w:t>
      </w:r>
      <w:bookmarkEnd w:id="92"/>
      <w:bookmarkEnd w:id="93"/>
      <w:bookmarkEnd w:id="94"/>
    </w:p>
    <w:p w14:paraId="6D86E72F">
      <w:pPr>
        <w:keepNext w:val="0"/>
        <w:keepLines w:val="0"/>
        <w:pageBreakBefore w:val="0"/>
        <w:widowControl w:val="0"/>
        <w:kinsoku/>
        <w:wordWrap/>
        <w:overflowPunct/>
        <w:topLinePunct w:val="0"/>
        <w:autoSpaceDE/>
        <w:autoSpaceDN/>
        <w:bidi w:val="0"/>
        <w:spacing w:line="540" w:lineRule="exact"/>
        <w:ind w:firstLine="560" w:firstLineChars="200"/>
        <w:textAlignment w:val="auto"/>
        <w:rPr>
          <w:rFonts w:ascii="Times New Roman" w:hAnsi="Times New Roman" w:eastAsia="仿宋_GB2312" w:cs="Times New Roman"/>
          <w:color w:val="000000" w:themeColor="text1"/>
          <w:sz w:val="28"/>
          <w:szCs w:val="28"/>
          <w14:textFill>
            <w14:solidFill>
              <w14:schemeClr w14:val="tx1"/>
            </w14:solidFill>
          </w14:textFill>
        </w:rPr>
      </w:pPr>
      <w:bookmarkStart w:id="95" w:name="_Toc21590"/>
      <w:r>
        <w:rPr>
          <w:rFonts w:hint="eastAsia" w:ascii="楷体_GB2312" w:hAnsi="楷体_GB2312" w:eastAsia="楷体_GB2312" w:cs="楷体_GB2312"/>
          <w:b w:val="0"/>
          <w:bCs w:val="0"/>
          <w:color w:val="000000" w:themeColor="text1"/>
          <w:sz w:val="28"/>
          <w:szCs w:val="28"/>
          <w14:textFill>
            <w14:solidFill>
              <w14:schemeClr w14:val="tx1"/>
            </w14:solidFill>
          </w14:textFill>
        </w:rPr>
        <w:t>坚持党的全面领导。</w:t>
      </w:r>
      <w:r>
        <w:rPr>
          <w:rFonts w:hint="eastAsia" w:ascii="Times New Roman" w:hAnsi="Times New Roman" w:eastAsia="仿宋_GB2312" w:cs="Times New Roman"/>
          <w:color w:val="000000" w:themeColor="text1"/>
          <w:sz w:val="28"/>
          <w:szCs w:val="28"/>
          <w14:textFill>
            <w14:solidFill>
              <w14:schemeClr w14:val="tx1"/>
            </w14:solidFill>
          </w14:textFill>
        </w:rPr>
        <w:t>坚持和完善党领导经济社会发展的体制机制，坚决维护党中央权威和集中统一领导，始终同以习近平同志为核心的党中央保持高度一致，不断提高贯彻新发展理念、构建新发展格局的能力和水平，为实现高质量赶超发展提供根本保证。</w:t>
      </w:r>
    </w:p>
    <w:p w14:paraId="30002F22">
      <w:pPr>
        <w:keepNext w:val="0"/>
        <w:keepLines w:val="0"/>
        <w:pageBreakBefore w:val="0"/>
        <w:widowControl w:val="0"/>
        <w:kinsoku/>
        <w:wordWrap/>
        <w:overflowPunct/>
        <w:topLinePunct w:val="0"/>
        <w:autoSpaceDE/>
        <w:autoSpaceDN/>
        <w:bidi w:val="0"/>
        <w:spacing w:line="540" w:lineRule="exact"/>
        <w:ind w:firstLine="560" w:firstLineChars="200"/>
        <w:textAlignment w:val="auto"/>
        <w:rPr>
          <w:rFonts w:ascii="Times New Roman" w:hAnsi="Times New Roman" w:eastAsia="仿宋_GB2312" w:cs="Times New Roman"/>
          <w:color w:val="000000" w:themeColor="text1"/>
          <w:sz w:val="28"/>
          <w:szCs w:val="28"/>
          <w14:textFill>
            <w14:solidFill>
              <w14:schemeClr w14:val="tx1"/>
            </w14:solidFill>
          </w14:textFill>
        </w:rPr>
      </w:pPr>
      <w:r>
        <w:rPr>
          <w:rFonts w:hint="eastAsia" w:ascii="楷体_GB2312" w:hAnsi="楷体_GB2312" w:eastAsia="楷体_GB2312" w:cs="楷体_GB2312"/>
          <w:b w:val="0"/>
          <w:bCs w:val="0"/>
          <w:color w:val="000000" w:themeColor="text1"/>
          <w:sz w:val="28"/>
          <w:szCs w:val="28"/>
          <w14:textFill>
            <w14:solidFill>
              <w14:schemeClr w14:val="tx1"/>
            </w14:solidFill>
          </w14:textFill>
        </w:rPr>
        <w:t>坚持以人民为中心。</w:t>
      </w:r>
      <w:r>
        <w:rPr>
          <w:rFonts w:hint="eastAsia" w:ascii="Times New Roman" w:hAnsi="Times New Roman" w:eastAsia="仿宋_GB2312" w:cs="Times New Roman"/>
          <w:color w:val="000000" w:themeColor="text1"/>
          <w:sz w:val="28"/>
          <w:szCs w:val="28"/>
          <w14:textFill>
            <w14:solidFill>
              <w14:schemeClr w14:val="tx1"/>
            </w14:solidFill>
          </w14:textFill>
        </w:rPr>
        <w:t>坚持民生连着民心、民心是最大的政治，始终做到发展为了人民、发展依靠人民、发展成果由人民共享，把为民办事、为民造福作为最重要的政绩，顺应人民对美好生活的向往，实施民心工程，不断增进民生福祉。</w:t>
      </w:r>
      <w:r>
        <w:rPr>
          <w:rFonts w:ascii="Times New Roman" w:hAnsi="Times New Roman" w:eastAsia="仿宋_GB2312" w:cs="Times New Roman"/>
          <w:color w:val="000000" w:themeColor="text1"/>
          <w:sz w:val="28"/>
          <w:szCs w:val="28"/>
          <w14:textFill>
            <w14:solidFill>
              <w14:schemeClr w14:val="tx1"/>
            </w14:solidFill>
          </w14:textFill>
        </w:rPr>
        <w:t>着力解决人民群众最关切的公共安全、权益保障、公平正义问题，不断增强人民群众获得感、幸福感、安全感。</w:t>
      </w:r>
    </w:p>
    <w:p w14:paraId="57DE71D1">
      <w:pPr>
        <w:keepNext w:val="0"/>
        <w:keepLines w:val="0"/>
        <w:pageBreakBefore w:val="0"/>
        <w:widowControl w:val="0"/>
        <w:kinsoku/>
        <w:wordWrap/>
        <w:overflowPunct/>
        <w:topLinePunct w:val="0"/>
        <w:autoSpaceDE/>
        <w:autoSpaceDN/>
        <w:bidi w:val="0"/>
        <w:spacing w:line="540" w:lineRule="exact"/>
        <w:ind w:firstLine="560" w:firstLineChars="200"/>
        <w:textAlignment w:val="auto"/>
        <w:rPr>
          <w:rFonts w:ascii="Times New Roman" w:hAnsi="Times New Roman" w:eastAsia="仿宋_GB2312" w:cs="Times New Roman"/>
          <w:b w:val="0"/>
          <w:bCs w:val="0"/>
          <w:color w:val="000000" w:themeColor="text1"/>
          <w:sz w:val="28"/>
          <w:szCs w:val="28"/>
          <w14:textFill>
            <w14:solidFill>
              <w14:schemeClr w14:val="tx1"/>
            </w14:solidFill>
          </w14:textFill>
        </w:rPr>
      </w:pPr>
      <w:r>
        <w:rPr>
          <w:rFonts w:hint="eastAsia" w:ascii="楷体_GB2312" w:hAnsi="楷体_GB2312" w:eastAsia="楷体_GB2312" w:cs="楷体_GB2312"/>
          <w:b w:val="0"/>
          <w:bCs w:val="0"/>
          <w:color w:val="000000" w:themeColor="text1"/>
          <w:sz w:val="28"/>
          <w:szCs w:val="28"/>
          <w14:textFill>
            <w14:solidFill>
              <w14:schemeClr w14:val="tx1"/>
            </w14:solidFill>
          </w14:textFill>
        </w:rPr>
        <w:t>坚持新发展理念。</w:t>
      </w:r>
      <w:r>
        <w:rPr>
          <w:rFonts w:hint="eastAsia" w:ascii="Times New Roman" w:hAnsi="Times New Roman" w:eastAsia="仿宋_GB2312" w:cs="Times New Roman"/>
          <w:b w:val="0"/>
          <w:bCs w:val="0"/>
          <w:color w:val="000000" w:themeColor="text1"/>
          <w:sz w:val="28"/>
          <w:szCs w:val="28"/>
          <w14:textFill>
            <w14:solidFill>
              <w14:schemeClr w14:val="tx1"/>
            </w14:solidFill>
          </w14:textFill>
        </w:rPr>
        <w:t>始终把新发展理念贯穿发展全过程和各领域，</w:t>
      </w:r>
      <w:r>
        <w:rPr>
          <w:rFonts w:ascii="Times New Roman" w:hAnsi="Times New Roman" w:eastAsia="仿宋_GB2312" w:cs="Times New Roman"/>
          <w:b w:val="0"/>
          <w:bCs w:val="0"/>
          <w:color w:val="000000" w:themeColor="text1"/>
          <w:sz w:val="28"/>
          <w:szCs w:val="28"/>
          <w14:textFill>
            <w14:solidFill>
              <w14:schemeClr w14:val="tx1"/>
            </w14:solidFill>
          </w14:textFill>
        </w:rPr>
        <w:t>把“</w:t>
      </w:r>
      <w:r>
        <w:rPr>
          <w:rFonts w:hint="eastAsia" w:ascii="Times New Roman" w:hAnsi="Times New Roman" w:eastAsia="仿宋_GB2312" w:cs="Times New Roman"/>
          <w:b w:val="0"/>
          <w:bCs w:val="0"/>
          <w:color w:val="000000" w:themeColor="text1"/>
          <w:sz w:val="28"/>
          <w:szCs w:val="28"/>
          <w14:textFill>
            <w14:solidFill>
              <w14:schemeClr w14:val="tx1"/>
            </w14:solidFill>
          </w14:textFill>
        </w:rPr>
        <w:t>争三夺二拼第一</w:t>
      </w:r>
      <w:r>
        <w:rPr>
          <w:rFonts w:ascii="Times New Roman" w:hAnsi="Times New Roman" w:eastAsia="仿宋_GB2312" w:cs="Times New Roman"/>
          <w:b w:val="0"/>
          <w:bCs w:val="0"/>
          <w:color w:val="000000" w:themeColor="text1"/>
          <w:sz w:val="28"/>
          <w:szCs w:val="28"/>
          <w14:textFill>
            <w14:solidFill>
              <w14:schemeClr w14:val="tx1"/>
            </w14:solidFill>
          </w14:textFill>
        </w:rPr>
        <w:t>”争先意识贯穿各项工作，</w:t>
      </w:r>
      <w:r>
        <w:rPr>
          <w:rFonts w:hint="eastAsia" w:ascii="Times New Roman" w:hAnsi="Times New Roman" w:eastAsia="仿宋_GB2312" w:cs="Times New Roman"/>
          <w:b w:val="0"/>
          <w:bCs w:val="0"/>
          <w:color w:val="000000" w:themeColor="text1"/>
          <w:sz w:val="28"/>
          <w:szCs w:val="28"/>
          <w14:textFill>
            <w14:solidFill>
              <w14:schemeClr w14:val="tx1"/>
            </w14:solidFill>
          </w14:textFill>
        </w:rPr>
        <w:t>切实转变发展方式，加快转型升级和提质增效，积极融入新发展格局，实现更高质量、更有效率、更加公平、更可持续、更为安全的发展。</w:t>
      </w:r>
    </w:p>
    <w:p w14:paraId="65589369">
      <w:pPr>
        <w:keepNext w:val="0"/>
        <w:keepLines w:val="0"/>
        <w:pageBreakBefore w:val="0"/>
        <w:widowControl w:val="0"/>
        <w:kinsoku/>
        <w:wordWrap/>
        <w:overflowPunct/>
        <w:topLinePunct w:val="0"/>
        <w:autoSpaceDE/>
        <w:autoSpaceDN/>
        <w:bidi w:val="0"/>
        <w:spacing w:line="540" w:lineRule="exact"/>
        <w:ind w:firstLine="560" w:firstLineChars="200"/>
        <w:textAlignment w:val="auto"/>
        <w:rPr>
          <w:rFonts w:ascii="Times New Roman" w:hAnsi="Times New Roman" w:eastAsia="仿宋_GB2312" w:cs="Times New Roman"/>
          <w:b w:val="0"/>
          <w:bCs w:val="0"/>
          <w:color w:val="000000" w:themeColor="text1"/>
          <w:sz w:val="28"/>
          <w:szCs w:val="28"/>
          <w14:textFill>
            <w14:solidFill>
              <w14:schemeClr w14:val="tx1"/>
            </w14:solidFill>
          </w14:textFill>
        </w:rPr>
      </w:pPr>
      <w:r>
        <w:rPr>
          <w:rFonts w:hint="eastAsia" w:ascii="楷体_GB2312" w:hAnsi="楷体_GB2312" w:eastAsia="楷体_GB2312" w:cs="楷体_GB2312"/>
          <w:b w:val="0"/>
          <w:bCs w:val="0"/>
          <w:color w:val="000000" w:themeColor="text1"/>
          <w:sz w:val="28"/>
          <w:szCs w:val="28"/>
          <w14:textFill>
            <w14:solidFill>
              <w14:schemeClr w14:val="tx1"/>
            </w14:solidFill>
          </w14:textFill>
        </w:rPr>
        <w:t>坚持深化改革开放。</w:t>
      </w:r>
      <w:r>
        <w:rPr>
          <w:rFonts w:hint="eastAsia" w:ascii="Times New Roman" w:hAnsi="Times New Roman" w:eastAsia="仿宋_GB2312" w:cs="Times New Roman"/>
          <w:b w:val="0"/>
          <w:bCs w:val="0"/>
          <w:color w:val="000000" w:themeColor="text1"/>
          <w:sz w:val="28"/>
          <w:szCs w:val="28"/>
          <w14:textFill>
            <w14:solidFill>
              <w14:schemeClr w14:val="tx1"/>
            </w14:solidFill>
          </w14:textFill>
        </w:rPr>
        <w:t>坚定不移推进改革，积极融入国内国际双循环，不断激发发展活力、塑造竞争优势，破除影响高质量发展、高品质生活的体制机制障碍，加强治理体系和治理能力现代化建设，持续增强发展动力。</w:t>
      </w:r>
    </w:p>
    <w:p w14:paraId="6656655E">
      <w:pPr>
        <w:keepNext w:val="0"/>
        <w:keepLines w:val="0"/>
        <w:pageBreakBefore w:val="0"/>
        <w:widowControl w:val="0"/>
        <w:kinsoku/>
        <w:wordWrap/>
        <w:overflowPunct/>
        <w:topLinePunct w:val="0"/>
        <w:autoSpaceDE/>
        <w:autoSpaceDN/>
        <w:bidi w:val="0"/>
        <w:spacing w:line="540" w:lineRule="exact"/>
        <w:ind w:firstLine="560" w:firstLineChars="200"/>
        <w:textAlignment w:val="auto"/>
        <w:rPr>
          <w:rFonts w:ascii="Times New Roman" w:hAnsi="Times New Roman" w:eastAsia="仿宋_GB2312" w:cs="Times New Roman"/>
          <w:color w:val="000000" w:themeColor="text1"/>
          <w:sz w:val="28"/>
          <w:szCs w:val="28"/>
          <w14:textFill>
            <w14:solidFill>
              <w14:schemeClr w14:val="tx1"/>
            </w14:solidFill>
          </w14:textFill>
        </w:rPr>
      </w:pPr>
      <w:r>
        <w:rPr>
          <w:rFonts w:hint="eastAsia" w:ascii="楷体_GB2312" w:hAnsi="楷体_GB2312" w:eastAsia="楷体_GB2312" w:cs="楷体_GB2312"/>
          <w:b w:val="0"/>
          <w:bCs w:val="0"/>
          <w:color w:val="000000" w:themeColor="text1"/>
          <w:sz w:val="28"/>
          <w:szCs w:val="28"/>
          <w14:textFill>
            <w14:solidFill>
              <w14:schemeClr w14:val="tx1"/>
            </w14:solidFill>
          </w14:textFill>
        </w:rPr>
        <w:t>坚持系统观念。</w:t>
      </w:r>
      <w:r>
        <w:rPr>
          <w:rFonts w:hint="eastAsia" w:ascii="Times New Roman" w:hAnsi="Times New Roman" w:eastAsia="仿宋_GB2312" w:cs="Times New Roman"/>
          <w:color w:val="000000" w:themeColor="text1"/>
          <w:sz w:val="28"/>
          <w:szCs w:val="28"/>
          <w14:textFill>
            <w14:solidFill>
              <w14:schemeClr w14:val="tx1"/>
            </w14:solidFill>
          </w14:textFill>
        </w:rPr>
        <w:t>坚决守好首都政治“护城河”清河防线，加强前瞻性思考、全局性谋划、战略性布局、整体性推进，发挥各方面积极性，着力固根基、扬优势、补短板、强弱项，注重防范化解重大风险挑战，实现发展质量、结构、规模、速度、效益、安全相统一。</w:t>
      </w:r>
    </w:p>
    <w:p w14:paraId="2BD193EF">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br w:type="page"/>
      </w:r>
    </w:p>
    <w:p w14:paraId="27590D17">
      <w:pPr>
        <w:pStyle w:val="4"/>
        <w:keepNext w:val="0"/>
        <w:keepLines w:val="0"/>
        <w:pageBreakBefore w:val="0"/>
        <w:widowControl w:val="0"/>
        <w:kinsoku/>
        <w:wordWrap/>
        <w:overflowPunct/>
        <w:topLinePunct w:val="0"/>
        <w:autoSpaceDE/>
        <w:autoSpaceDN/>
        <w:bidi w:val="0"/>
        <w:spacing w:before="0" w:after="0" w:line="600" w:lineRule="exact"/>
        <w:jc w:val="center"/>
        <w:textAlignment w:val="auto"/>
        <w:rPr>
          <w:rFonts w:ascii="宋体" w:hAnsi="宋体" w:eastAsia="宋体" w:cs="宋体"/>
          <w:color w:val="000000" w:themeColor="text1"/>
          <w:sz w:val="36"/>
          <w:szCs w:val="20"/>
          <w14:textFill>
            <w14:solidFill>
              <w14:schemeClr w14:val="tx1"/>
            </w14:solidFill>
          </w14:textFill>
        </w:rPr>
      </w:pPr>
      <w:bookmarkStart w:id="96" w:name="_Toc20963"/>
      <w:bookmarkStart w:id="97" w:name="_Toc14592"/>
      <w:bookmarkStart w:id="98" w:name="_Toc11921"/>
      <w:r>
        <w:rPr>
          <w:rFonts w:hint="eastAsia" w:ascii="宋体" w:hAnsi="宋体" w:eastAsia="宋体" w:cs="宋体"/>
          <w:color w:val="000000" w:themeColor="text1"/>
          <w:sz w:val="36"/>
          <w:szCs w:val="20"/>
          <w14:textFill>
            <w14:solidFill>
              <w14:schemeClr w14:val="tx1"/>
            </w14:solidFill>
          </w14:textFill>
        </w:rPr>
        <w:t>第四章  “十四五”时期清河县发展定位和主要目标</w:t>
      </w:r>
      <w:bookmarkEnd w:id="96"/>
      <w:bookmarkEnd w:id="97"/>
      <w:bookmarkEnd w:id="98"/>
    </w:p>
    <w:bookmarkEnd w:id="95"/>
    <w:p w14:paraId="67C66CF1">
      <w:pPr>
        <w:pStyle w:val="5"/>
        <w:keepNext w:val="0"/>
        <w:keepLines w:val="0"/>
        <w:pageBreakBefore w:val="0"/>
        <w:widowControl w:val="0"/>
        <w:kinsoku/>
        <w:wordWrap/>
        <w:overflowPunct/>
        <w:topLinePunct w:val="0"/>
        <w:autoSpaceDE/>
        <w:autoSpaceDN/>
        <w:bidi w:val="0"/>
        <w:spacing w:before="0" w:after="0" w:line="520" w:lineRule="exact"/>
        <w:ind w:firstLine="562" w:firstLineChars="200"/>
        <w:textAlignment w:val="auto"/>
        <w:rPr>
          <w:rFonts w:ascii="楷体" w:hAnsi="楷体" w:eastAsia="楷体" w:cs="楷体"/>
          <w:color w:val="000000" w:themeColor="text1"/>
          <w:sz w:val="28"/>
          <w:szCs w:val="28"/>
          <w14:textFill>
            <w14:solidFill>
              <w14:schemeClr w14:val="tx1"/>
            </w14:solidFill>
          </w14:textFill>
        </w:rPr>
      </w:pPr>
      <w:bookmarkStart w:id="99" w:name="_Toc18893"/>
      <w:bookmarkStart w:id="100" w:name="_Toc20364"/>
      <w:bookmarkStart w:id="101" w:name="_Toc15979"/>
    </w:p>
    <w:p w14:paraId="3CF3808F">
      <w:pPr>
        <w:pStyle w:val="5"/>
        <w:keepNext w:val="0"/>
        <w:keepLines w:val="0"/>
        <w:pageBreakBefore w:val="0"/>
        <w:widowControl w:val="0"/>
        <w:kinsoku/>
        <w:wordWrap/>
        <w:overflowPunct/>
        <w:topLinePunct w:val="0"/>
        <w:autoSpaceDE/>
        <w:autoSpaceDN/>
        <w:bidi w:val="0"/>
        <w:spacing w:before="0" w:after="0" w:line="500" w:lineRule="exact"/>
        <w:ind w:firstLine="560" w:firstLineChars="200"/>
        <w:textAlignment w:val="auto"/>
        <w:rPr>
          <w:rFonts w:ascii="黑体" w:hAnsi="黑体" w:eastAsia="黑体"/>
          <w:b w:val="0"/>
          <w:bCs w:val="0"/>
          <w:color w:val="000000" w:themeColor="text1"/>
          <w:sz w:val="28"/>
          <w:szCs w:val="28"/>
          <w14:textFill>
            <w14:solidFill>
              <w14:schemeClr w14:val="tx1"/>
            </w14:solidFill>
          </w14:textFill>
        </w:rPr>
      </w:pPr>
      <w:bookmarkStart w:id="102" w:name="_Toc29758"/>
      <w:r>
        <w:rPr>
          <w:rFonts w:hint="eastAsia" w:ascii="黑体" w:hAnsi="黑体" w:eastAsia="黑体"/>
          <w:b w:val="0"/>
          <w:bCs w:val="0"/>
          <w:color w:val="000000" w:themeColor="text1"/>
          <w:sz w:val="28"/>
          <w:szCs w:val="28"/>
          <w14:textFill>
            <w14:solidFill>
              <w14:schemeClr w14:val="tx1"/>
            </w14:solidFill>
          </w14:textFill>
        </w:rPr>
        <w:t>一、发展定位</w:t>
      </w:r>
      <w:bookmarkEnd w:id="99"/>
      <w:bookmarkEnd w:id="100"/>
      <w:bookmarkEnd w:id="102"/>
    </w:p>
    <w:p w14:paraId="258D0067">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按照“小县域大县城”思路，科学确定城市发展定位和县域功能布局，提升城乡建设水平，构建高质量赶超发展支撑体系。</w:t>
      </w:r>
    </w:p>
    <w:p w14:paraId="2729BE65">
      <w:pPr>
        <w:keepNext w:val="0"/>
        <w:keepLines w:val="0"/>
        <w:pageBreakBefore w:val="0"/>
        <w:widowControl w:val="0"/>
        <w:kinsoku/>
        <w:wordWrap/>
        <w:overflowPunct/>
        <w:topLinePunct w:val="0"/>
        <w:autoSpaceDE/>
        <w:autoSpaceDN/>
        <w:bidi w:val="0"/>
        <w:spacing w:line="500" w:lineRule="exact"/>
        <w:ind w:firstLine="560" w:firstLineChars="200"/>
        <w:textAlignment w:val="auto"/>
        <w:outlineLvl w:val="2"/>
        <w:rPr>
          <w:rFonts w:ascii="楷体_GB2312" w:hAnsi="楷体_GB2312" w:eastAsia="楷体_GB2312" w:cs="楷体_GB2312"/>
          <w:b w:val="0"/>
          <w:bCs w:val="0"/>
          <w:color w:val="000000" w:themeColor="text1"/>
          <w:sz w:val="28"/>
          <w:szCs w:val="28"/>
          <w14:textFill>
            <w14:solidFill>
              <w14:schemeClr w14:val="tx1"/>
            </w14:solidFill>
          </w14:textFill>
        </w:rPr>
      </w:pPr>
      <w:bookmarkStart w:id="103" w:name="_Toc7925"/>
      <w:bookmarkStart w:id="104" w:name="_Toc8404"/>
      <w:r>
        <w:rPr>
          <w:rFonts w:hint="eastAsia" w:ascii="楷体_GB2312" w:hAnsi="楷体_GB2312" w:eastAsia="楷体_GB2312" w:cs="楷体_GB2312"/>
          <w:b w:val="0"/>
          <w:bCs w:val="0"/>
          <w:color w:val="000000" w:themeColor="text1"/>
          <w:sz w:val="28"/>
          <w:szCs w:val="28"/>
          <w14:textFill>
            <w14:solidFill>
              <w14:schemeClr w14:val="tx1"/>
            </w14:solidFill>
          </w14:textFill>
        </w:rPr>
        <w:t>（一）城市定位：一城三区</w:t>
      </w:r>
      <w:bookmarkEnd w:id="103"/>
      <w:bookmarkEnd w:id="104"/>
    </w:p>
    <w:p w14:paraId="781CE9A4">
      <w:pPr>
        <w:keepNext w:val="0"/>
        <w:keepLines w:val="0"/>
        <w:pageBreakBefore w:val="0"/>
        <w:widowControl w:val="0"/>
        <w:kinsoku/>
        <w:wordWrap/>
        <w:overflowPunct/>
        <w:topLinePunct w:val="0"/>
        <w:autoSpaceDE/>
        <w:autoSpaceDN/>
        <w:bidi w:val="0"/>
        <w:spacing w:line="500" w:lineRule="exact"/>
        <w:ind w:firstLine="562" w:firstLineChars="200"/>
        <w:textAlignment w:val="auto"/>
        <w:rPr>
          <w:rFonts w:ascii="Times New Roman" w:hAnsi="Times New Roman" w:eastAsia="仿宋_GB2312" w:cs="Times New Roman"/>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一城：</w:t>
      </w:r>
      <w:r>
        <w:rPr>
          <w:rFonts w:hint="eastAsia" w:ascii="Times New Roman" w:hAnsi="Times New Roman" w:eastAsia="仿宋_GB2312" w:cs="Times New Roman"/>
          <w:b/>
          <w:bCs/>
          <w:color w:val="000000" w:themeColor="text1"/>
          <w:sz w:val="28"/>
          <w:szCs w:val="28"/>
          <w14:textFill>
            <w14:solidFill>
              <w14:schemeClr w14:val="tx1"/>
            </w14:solidFill>
          </w14:textFill>
        </w:rPr>
        <w:t>打造冀东南区域中心城市</w:t>
      </w:r>
      <w:r>
        <w:rPr>
          <w:rFonts w:hint="eastAsia" w:ascii="Times New Roman" w:hAnsi="Times New Roman" w:eastAsia="仿宋_GB2312" w:cs="Times New Roman"/>
          <w:color w:val="000000" w:themeColor="text1"/>
          <w:sz w:val="28"/>
          <w:szCs w:val="28"/>
          <w14:textFill>
            <w14:solidFill>
              <w14:schemeClr w14:val="tx1"/>
            </w14:solidFill>
          </w14:textFill>
        </w:rPr>
        <w:t>。充分发挥我县区位条件好、城市人口规模大、产业发展特色鲜明、城市集聚要素能力强、营商环境便利的综合优势，加快撤县设市步伐，大幅提升我县对周边县市的聚集吸纳力、带动影响力。</w:t>
      </w:r>
    </w:p>
    <w:p w14:paraId="13B4AA13">
      <w:pPr>
        <w:keepNext w:val="0"/>
        <w:keepLines w:val="0"/>
        <w:pageBreakBefore w:val="0"/>
        <w:widowControl w:val="0"/>
        <w:kinsoku/>
        <w:wordWrap/>
        <w:overflowPunct/>
        <w:topLinePunct w:val="0"/>
        <w:autoSpaceDE/>
        <w:autoSpaceDN/>
        <w:bidi w:val="0"/>
        <w:spacing w:line="500" w:lineRule="exact"/>
        <w:ind w:firstLine="562" w:firstLineChars="200"/>
        <w:textAlignment w:val="auto"/>
        <w:rPr>
          <w:rFonts w:ascii="Times New Roman" w:hAnsi="Times New Roman" w:eastAsia="仿宋_GB2312" w:cs="Times New Roman"/>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三区：</w:t>
      </w:r>
      <w:r>
        <w:rPr>
          <w:rFonts w:hint="eastAsia" w:ascii="Times New Roman" w:hAnsi="Times New Roman" w:eastAsia="仿宋_GB2312" w:cs="Times New Roman"/>
          <w:b/>
          <w:bCs/>
          <w:color w:val="000000" w:themeColor="text1"/>
          <w:sz w:val="28"/>
          <w:szCs w:val="28"/>
          <w14:textFill>
            <w14:solidFill>
              <w14:schemeClr w14:val="tx1"/>
            </w14:solidFill>
          </w14:textFill>
        </w:rPr>
        <w:t>打造国际羊绒时尚引领区</w:t>
      </w:r>
      <w:r>
        <w:rPr>
          <w:rFonts w:hint="eastAsia" w:ascii="Times New Roman" w:hAnsi="Times New Roman" w:eastAsia="仿宋_GB2312" w:cs="Times New Roman"/>
          <w:color w:val="000000" w:themeColor="text1"/>
          <w:sz w:val="28"/>
          <w:szCs w:val="28"/>
          <w14:textFill>
            <w14:solidFill>
              <w14:schemeClr w14:val="tx1"/>
            </w14:solidFill>
          </w14:textFill>
        </w:rPr>
        <w:t>。统筹利用龙头带动、创意设计、品牌培育、展会筹办、电商发展、业态丰富、小镇提升等抓手，在打造“羊绒之都、世界绒谷”基础上，建设时装时尚发布平台，引领行业潮流，真正让清河羊绒在世界独树一帜。</w:t>
      </w:r>
      <w:r>
        <w:rPr>
          <w:rFonts w:hint="eastAsia" w:ascii="Times New Roman" w:hAnsi="Times New Roman" w:eastAsia="仿宋_GB2312" w:cs="Times New Roman"/>
          <w:b/>
          <w:bCs/>
          <w:color w:val="000000" w:themeColor="text1"/>
          <w:sz w:val="28"/>
          <w:szCs w:val="28"/>
          <w14:textFill>
            <w14:solidFill>
              <w14:schemeClr w14:val="tx1"/>
            </w14:solidFill>
          </w14:textFill>
        </w:rPr>
        <w:t>打造中国汽配智造示范区</w:t>
      </w:r>
      <w:r>
        <w:rPr>
          <w:rFonts w:hint="eastAsia" w:ascii="Times New Roman" w:hAnsi="Times New Roman" w:eastAsia="仿宋_GB2312" w:cs="Times New Roman"/>
          <w:color w:val="000000" w:themeColor="text1"/>
          <w:sz w:val="28"/>
          <w:szCs w:val="28"/>
          <w14:textFill>
            <w14:solidFill>
              <w14:schemeClr w14:val="tx1"/>
            </w14:solidFill>
          </w14:textFill>
        </w:rPr>
        <w:t>。依托中国汽车零部件制造优秀基地的优势，落实“一主三覆”理念，以技改项目为主，加快企业两化融合、企业上云、绿色工厂建设，以此带动汽车零部件产业加速向智能化、数字化、信息化方向发展。</w:t>
      </w:r>
      <w:r>
        <w:rPr>
          <w:rFonts w:hint="eastAsia" w:ascii="Times New Roman" w:hAnsi="Times New Roman" w:eastAsia="仿宋_GB2312" w:cs="Times New Roman"/>
          <w:b/>
          <w:bCs/>
          <w:color w:val="000000" w:themeColor="text1"/>
          <w:sz w:val="28"/>
          <w:szCs w:val="28"/>
          <w14:textFill>
            <w14:solidFill>
              <w14:schemeClr w14:val="tx1"/>
            </w14:solidFill>
          </w14:textFill>
        </w:rPr>
        <w:t>打造北方平原县域旅游先行区</w:t>
      </w:r>
      <w:r>
        <w:rPr>
          <w:rFonts w:hint="eastAsia" w:ascii="Times New Roman" w:hAnsi="Times New Roman" w:eastAsia="仿宋_GB2312" w:cs="Times New Roman"/>
          <w:color w:val="000000" w:themeColor="text1"/>
          <w:sz w:val="28"/>
          <w:szCs w:val="28"/>
          <w14:textFill>
            <w14:solidFill>
              <w14:schemeClr w14:val="tx1"/>
            </w14:solidFill>
          </w14:textFill>
        </w:rPr>
        <w:t>。乘借筹办全市第五届旅发大会的东风，着力抓产业游，以羊绒小镇改造带动产业升级、形象提升；着力抓生态游，以万亩山楂生态林为依托，打造</w:t>
      </w:r>
      <w:r>
        <w:rPr>
          <w:rFonts w:hint="eastAsia" w:ascii="Times New Roman" w:hAnsi="Times New Roman" w:eastAsia="仿宋_GB2312" w:cs="Times New Roman"/>
          <w:color w:val="000000" w:themeColor="text1"/>
          <w:spacing w:val="-11"/>
          <w:sz w:val="28"/>
          <w:szCs w:val="28"/>
          <w14:textFill>
            <w14:solidFill>
              <w14:schemeClr w14:val="tx1"/>
            </w14:solidFill>
          </w14:textFill>
        </w:rPr>
        <w:t>农业生态游；着力抓文化游，深入挖掘整合张氏文化、运河文化、武松文化、金瓶梅文化、状元文化等特色文化资源，打造北方平原县域旅游发展新亮点。</w:t>
      </w:r>
    </w:p>
    <w:p w14:paraId="60D89DF8">
      <w:pPr>
        <w:keepNext w:val="0"/>
        <w:keepLines w:val="0"/>
        <w:pageBreakBefore w:val="0"/>
        <w:widowControl w:val="0"/>
        <w:kinsoku/>
        <w:wordWrap/>
        <w:overflowPunct/>
        <w:topLinePunct w:val="0"/>
        <w:autoSpaceDE/>
        <w:autoSpaceDN/>
        <w:bidi w:val="0"/>
        <w:spacing w:line="500" w:lineRule="exact"/>
        <w:ind w:firstLine="560" w:firstLineChars="200"/>
        <w:textAlignment w:val="auto"/>
        <w:outlineLvl w:val="2"/>
        <w:rPr>
          <w:rFonts w:ascii="楷体_GB2312" w:hAnsi="楷体_GB2312" w:eastAsia="楷体_GB2312" w:cs="楷体_GB2312"/>
          <w:b w:val="0"/>
          <w:bCs w:val="0"/>
          <w:color w:val="000000" w:themeColor="text1"/>
          <w:sz w:val="28"/>
          <w:szCs w:val="28"/>
          <w14:textFill>
            <w14:solidFill>
              <w14:schemeClr w14:val="tx1"/>
            </w14:solidFill>
          </w14:textFill>
        </w:rPr>
      </w:pPr>
      <w:bookmarkStart w:id="105" w:name="_Toc12735"/>
      <w:bookmarkStart w:id="106" w:name="_Toc27175"/>
      <w:r>
        <w:rPr>
          <w:rFonts w:hint="eastAsia" w:ascii="楷体_GB2312" w:hAnsi="楷体_GB2312" w:eastAsia="楷体_GB2312" w:cs="楷体_GB2312"/>
          <w:b w:val="0"/>
          <w:bCs w:val="0"/>
          <w:color w:val="000000" w:themeColor="text1"/>
          <w:sz w:val="28"/>
          <w:szCs w:val="28"/>
          <w14:textFill>
            <w14:solidFill>
              <w14:schemeClr w14:val="tx1"/>
            </w14:solidFill>
          </w14:textFill>
        </w:rPr>
        <w:t>（二）功能布局：一核三带</w:t>
      </w:r>
      <w:bookmarkEnd w:id="105"/>
      <w:bookmarkEnd w:id="106"/>
    </w:p>
    <w:p w14:paraId="25F2F760">
      <w:pPr>
        <w:keepNext w:val="0"/>
        <w:keepLines w:val="0"/>
        <w:pageBreakBefore w:val="0"/>
        <w:widowControl w:val="0"/>
        <w:kinsoku/>
        <w:wordWrap/>
        <w:overflowPunct/>
        <w:topLinePunct w:val="0"/>
        <w:autoSpaceDE/>
        <w:autoSpaceDN/>
        <w:bidi w:val="0"/>
        <w:spacing w:line="500" w:lineRule="exact"/>
        <w:ind w:firstLine="562" w:firstLineChars="200"/>
        <w:textAlignment w:val="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一核</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Times New Roman" w:hAnsi="Times New Roman" w:eastAsia="仿宋_GB2312" w:cs="Times New Roman"/>
          <w:b/>
          <w:bCs/>
          <w:color w:val="000000" w:themeColor="text1"/>
          <w:sz w:val="28"/>
          <w:szCs w:val="28"/>
          <w14:textFill>
            <w14:solidFill>
              <w14:schemeClr w14:val="tx1"/>
            </w14:solidFill>
          </w14:textFill>
        </w:rPr>
        <w:t>打造中心城区</w:t>
      </w:r>
      <w:r>
        <w:rPr>
          <w:rFonts w:hint="eastAsia" w:ascii="Times New Roman" w:hAnsi="Times New Roman" w:eastAsia="仿宋_GB2312" w:cs="Times New Roman"/>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具体打造四大板块：一是生活区。以25.8平方公里的建成区为主体，完善城市配套，补齐绿地、游园等短板，让人民生活更加宜居。二是生产区。以经济开发区为主体，严格按照“234+1.5”标准，推动产业、企业向开发区集聚。三是商贸流通区。以高铁片区和羊绒</w:t>
      </w:r>
      <w:r>
        <w:rPr>
          <w:rFonts w:hint="eastAsia" w:ascii="仿宋_GB2312" w:hAnsi="仿宋_GB2312" w:eastAsia="仿宋_GB2312" w:cs="仿宋_GB2312"/>
          <w:color w:val="000000" w:themeColor="text1"/>
          <w:spacing w:val="-11"/>
          <w:sz w:val="28"/>
          <w:szCs w:val="28"/>
          <w14:textFill>
            <w14:solidFill>
              <w14:schemeClr w14:val="tx1"/>
            </w14:solidFill>
          </w14:textFill>
        </w:rPr>
        <w:t>小镇为主体，发展楼宇经济、创意经济、城市综合体等经济新业态。四是生态涵养区。以万亩山楂林为主体，加快打造清河县城的康养宜居后花园。</w:t>
      </w:r>
    </w:p>
    <w:p w14:paraId="2B1590A1">
      <w:pPr>
        <w:keepNext w:val="0"/>
        <w:keepLines w:val="0"/>
        <w:pageBreakBefore w:val="0"/>
        <w:widowControl w:val="0"/>
        <w:kinsoku/>
        <w:wordWrap/>
        <w:overflowPunct/>
        <w:topLinePunct w:val="0"/>
        <w:autoSpaceDE/>
        <w:autoSpaceDN/>
        <w:bidi w:val="0"/>
        <w:spacing w:line="500" w:lineRule="exact"/>
        <w:ind w:firstLine="562" w:firstLineChars="200"/>
        <w:textAlignment w:val="auto"/>
        <w:rPr>
          <w:rFonts w:ascii="Times New Roman" w:hAnsi="Times New Roman" w:eastAsia="仿宋_GB2312" w:cs="Times New Roman"/>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三带：</w:t>
      </w:r>
      <w:r>
        <w:rPr>
          <w:rFonts w:hint="eastAsia" w:ascii="Times New Roman" w:hAnsi="Times New Roman" w:eastAsia="仿宋_GB2312" w:cs="Times New Roman"/>
          <w:b/>
          <w:bCs/>
          <w:color w:val="000000" w:themeColor="text1"/>
          <w:sz w:val="28"/>
          <w:szCs w:val="28"/>
          <w14:textFill>
            <w14:solidFill>
              <w14:schemeClr w14:val="tx1"/>
            </w14:solidFill>
          </w14:textFill>
        </w:rPr>
        <w:t>打造现代农业示范带</w:t>
      </w:r>
      <w:r>
        <w:rPr>
          <w:rFonts w:hint="eastAsia" w:ascii="Times New Roman" w:hAnsi="Times New Roman" w:eastAsia="仿宋_GB2312" w:cs="Times New Roman"/>
          <w:color w:val="000000" w:themeColor="text1"/>
          <w:sz w:val="28"/>
          <w:szCs w:val="28"/>
          <w14:textFill>
            <w14:solidFill>
              <w14:schemeClr w14:val="tx1"/>
            </w14:solidFill>
          </w14:textFill>
        </w:rPr>
        <w:t>。沿秦黄路和民兴渠一线，着力引进一批带动能力强的农业龙头项目，发展高效、规模、特色种植，推动“千斤粮、万元钱”工程扩面，加快农业结构调整，推动农民增收致富。</w:t>
      </w:r>
      <w:r>
        <w:rPr>
          <w:rFonts w:hint="eastAsia" w:ascii="Times New Roman" w:hAnsi="Times New Roman" w:eastAsia="仿宋_GB2312" w:cs="Times New Roman"/>
          <w:b/>
          <w:bCs/>
          <w:color w:val="000000" w:themeColor="text1"/>
          <w:sz w:val="28"/>
          <w:szCs w:val="28"/>
          <w14:textFill>
            <w14:solidFill>
              <w14:schemeClr w14:val="tx1"/>
            </w14:solidFill>
          </w14:textFill>
        </w:rPr>
        <w:t>打造大运河文化旅游带。</w:t>
      </w:r>
      <w:r>
        <w:rPr>
          <w:rFonts w:hint="eastAsia" w:ascii="Times New Roman" w:hAnsi="Times New Roman" w:eastAsia="仿宋_GB2312" w:cs="Times New Roman"/>
          <w:color w:val="000000" w:themeColor="text1"/>
          <w:sz w:val="28"/>
          <w:szCs w:val="28"/>
          <w14:textFill>
            <w14:solidFill>
              <w14:schemeClr w14:val="tx1"/>
            </w14:solidFill>
          </w14:textFill>
        </w:rPr>
        <w:t>依托流经我县的大运河，充分挖掘、发挥大运河油坊码头、朱唐口险工等3个国保单位历史文化资源，完善旅游设施，打造旅游名片，以旅游带动资源优化提升。</w:t>
      </w:r>
      <w:r>
        <w:rPr>
          <w:rFonts w:hint="eastAsia" w:ascii="Times New Roman" w:hAnsi="Times New Roman" w:eastAsia="仿宋_GB2312" w:cs="Times New Roman"/>
          <w:b/>
          <w:bCs/>
          <w:color w:val="000000" w:themeColor="text1"/>
          <w:sz w:val="28"/>
          <w:szCs w:val="28"/>
          <w14:textFill>
            <w14:solidFill>
              <w14:schemeClr w14:val="tx1"/>
            </w14:solidFill>
          </w14:textFill>
        </w:rPr>
        <w:t>打造特色产业发展带。</w:t>
      </w:r>
      <w:r>
        <w:rPr>
          <w:rFonts w:hint="eastAsia" w:ascii="Times New Roman" w:hAnsi="Times New Roman" w:eastAsia="仿宋_GB2312" w:cs="Times New Roman"/>
          <w:color w:val="000000" w:themeColor="text1"/>
          <w:sz w:val="28"/>
          <w:szCs w:val="28"/>
          <w14:textFill>
            <w14:solidFill>
              <w14:schemeClr w14:val="tx1"/>
            </w14:solidFill>
          </w14:textFill>
        </w:rPr>
        <w:t>立足各镇工业基础，充分发挥羊绒、汽车零部件、合金等产业基础优势，通过技术提升、设备提升、环保倒逼提升，带动产业进一步向更高层次迈进。主要是以葛仙庄东部和连庄、谢炉、油坊三个镇为主，打造羊绒产业带；以葛仙庄西部、王官庄镇为主，打造汽车零部件产业带；以连庄镇为主打造合金产业带。</w:t>
      </w:r>
    </w:p>
    <w:p w14:paraId="2B320AB4">
      <w:pPr>
        <w:pStyle w:val="5"/>
        <w:keepNext w:val="0"/>
        <w:keepLines w:val="0"/>
        <w:pageBreakBefore w:val="0"/>
        <w:widowControl w:val="0"/>
        <w:kinsoku/>
        <w:wordWrap/>
        <w:overflowPunct/>
        <w:topLinePunct w:val="0"/>
        <w:autoSpaceDE/>
        <w:autoSpaceDN/>
        <w:bidi w:val="0"/>
        <w:spacing w:before="0" w:after="0" w:line="500" w:lineRule="exact"/>
        <w:ind w:firstLine="560" w:firstLineChars="200"/>
        <w:textAlignment w:val="auto"/>
        <w:rPr>
          <w:rFonts w:ascii="黑体" w:hAnsi="黑体" w:eastAsia="黑体"/>
          <w:b w:val="0"/>
          <w:bCs w:val="0"/>
          <w:color w:val="000000" w:themeColor="text1"/>
          <w:sz w:val="28"/>
          <w:szCs w:val="28"/>
          <w14:textFill>
            <w14:solidFill>
              <w14:schemeClr w14:val="tx1"/>
            </w14:solidFill>
          </w14:textFill>
        </w:rPr>
      </w:pPr>
      <w:bookmarkStart w:id="107" w:name="_Toc19557"/>
      <w:bookmarkStart w:id="108" w:name="_Toc25726"/>
      <w:bookmarkStart w:id="109" w:name="_Toc8173"/>
      <w:r>
        <w:rPr>
          <w:rFonts w:hint="eastAsia" w:ascii="黑体" w:hAnsi="黑体" w:eastAsia="黑体"/>
          <w:b w:val="0"/>
          <w:bCs w:val="0"/>
          <w:color w:val="000000" w:themeColor="text1"/>
          <w:sz w:val="28"/>
          <w:szCs w:val="28"/>
          <w14:textFill>
            <w14:solidFill>
              <w14:schemeClr w14:val="tx1"/>
            </w14:solidFill>
          </w14:textFill>
        </w:rPr>
        <w:t>二、发展目标</w:t>
      </w:r>
      <w:bookmarkEnd w:id="101"/>
      <w:bookmarkEnd w:id="107"/>
      <w:bookmarkEnd w:id="108"/>
      <w:bookmarkEnd w:id="109"/>
    </w:p>
    <w:p w14:paraId="1962CABF">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以深化供给侧结构性改革为主线，以改革创新为根本动力，以满足人民日益增长的美好生活需要为根本目的，以省委“三六八九”、市委“一三五十”和县委“三三五一”工作思路为引领，深入开展“树正气、转作风、优环境、促发展”活动，争三夺二拼第一，全力打造“一城三区”“一核三带”，坚定不移当好邢台高质量赶超发展先锋队和领头羊，实现“邢台领头、河北一流、全国上游”的宏伟目标。具体</w:t>
      </w:r>
      <w:r>
        <w:rPr>
          <w:rFonts w:ascii="Times New Roman" w:hAnsi="Times New Roman" w:eastAsia="仿宋_GB2312" w:cs="Times New Roman"/>
          <w:color w:val="000000" w:themeColor="text1"/>
          <w:sz w:val="28"/>
          <w:szCs w:val="28"/>
          <w14:textFill>
            <w14:solidFill>
              <w14:schemeClr w14:val="tx1"/>
            </w14:solidFill>
          </w14:textFill>
        </w:rPr>
        <w:t>目标如下：</w:t>
      </w:r>
    </w:p>
    <w:p w14:paraId="2E39A4F3">
      <w:pPr>
        <w:keepNext w:val="0"/>
        <w:keepLines w:val="0"/>
        <w:pageBreakBefore w:val="0"/>
        <w:widowControl w:val="0"/>
        <w:kinsoku/>
        <w:wordWrap/>
        <w:overflowPunct/>
        <w:topLinePunct w:val="0"/>
        <w:autoSpaceDE/>
        <w:autoSpaceDN/>
        <w:bidi w:val="0"/>
        <w:spacing w:line="500" w:lineRule="exact"/>
        <w:ind w:firstLine="560" w:firstLineChars="200"/>
        <w:textAlignment w:val="auto"/>
        <w:outlineLvl w:val="2"/>
        <w:rPr>
          <w:rFonts w:ascii="楷体_GB2312" w:hAnsi="楷体_GB2312" w:eastAsia="楷体_GB2312" w:cs="楷体_GB2312"/>
          <w:b w:val="0"/>
          <w:bCs w:val="0"/>
          <w:color w:val="000000" w:themeColor="text1"/>
          <w:sz w:val="28"/>
          <w:szCs w:val="28"/>
          <w14:textFill>
            <w14:solidFill>
              <w14:schemeClr w14:val="tx1"/>
            </w14:solidFill>
          </w14:textFill>
        </w:rPr>
      </w:pPr>
      <w:bookmarkStart w:id="110" w:name="_Toc26597"/>
      <w:bookmarkStart w:id="111" w:name="_Toc16688"/>
      <w:r>
        <w:rPr>
          <w:rFonts w:hint="eastAsia" w:ascii="楷体_GB2312" w:hAnsi="楷体_GB2312" w:eastAsia="楷体_GB2312" w:cs="楷体_GB2312"/>
          <w:b w:val="0"/>
          <w:bCs w:val="0"/>
          <w:color w:val="000000" w:themeColor="text1"/>
          <w:sz w:val="28"/>
          <w:szCs w:val="28"/>
          <w14:textFill>
            <w14:solidFill>
              <w14:schemeClr w14:val="tx1"/>
            </w14:solidFill>
          </w14:textFill>
        </w:rPr>
        <w:t>（一）综合实力更强</w:t>
      </w:r>
      <w:bookmarkEnd w:id="110"/>
      <w:bookmarkEnd w:id="111"/>
    </w:p>
    <w:p w14:paraId="7AE51BE6">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ascii="仿宋_GB2312" w:hAnsi="仿宋_GB2312" w:eastAsia="仿宋_GB2312" w:cs="仿宋_GB2312"/>
          <w:color w:val="000000" w:themeColor="text1"/>
          <w:sz w:val="28"/>
          <w:szCs w:val="28"/>
          <w14:textFill>
            <w14:solidFill>
              <w14:schemeClr w14:val="tx1"/>
            </w14:solidFill>
          </w14:textFill>
        </w:rPr>
      </w:pPr>
      <w:bookmarkStart w:id="112" w:name="_Hlk63337519"/>
      <w:r>
        <w:rPr>
          <w:rFonts w:hint="eastAsia" w:ascii="仿宋_GB2312" w:hAnsi="仿宋_GB2312" w:eastAsia="仿宋_GB2312" w:cs="仿宋_GB2312"/>
          <w:color w:val="000000" w:themeColor="text1"/>
          <w:sz w:val="28"/>
          <w:szCs w:val="28"/>
          <w14:textFill>
            <w14:solidFill>
              <w14:schemeClr w14:val="tx1"/>
            </w14:solidFill>
          </w14:textFill>
        </w:rPr>
        <w:t>经济持续健康发展，产业转型升级成效更加显著，创新能力明显提高。全县生产总值力争保持年均增长</w:t>
      </w:r>
      <w:r>
        <w:rPr>
          <w:rFonts w:ascii="仿宋_GB2312" w:hAnsi="仿宋_GB2312" w:eastAsia="仿宋_GB2312" w:cs="仿宋_GB2312"/>
          <w:color w:val="000000" w:themeColor="text1"/>
          <w:sz w:val="28"/>
          <w:szCs w:val="28"/>
          <w14:textFill>
            <w14:solidFill>
              <w14:schemeClr w14:val="tx1"/>
            </w14:solidFill>
          </w14:textFill>
        </w:rPr>
        <w:t>7</w:t>
      </w:r>
      <w:r>
        <w:rPr>
          <w:rFonts w:hint="eastAsia" w:ascii="仿宋_GB2312" w:hAnsi="仿宋_GB2312" w:eastAsia="仿宋_GB2312" w:cs="仿宋_GB2312"/>
          <w:color w:val="000000" w:themeColor="text1"/>
          <w:sz w:val="28"/>
          <w:szCs w:val="28"/>
          <w14:textFill>
            <w14:solidFill>
              <w14:schemeClr w14:val="tx1"/>
            </w14:solidFill>
          </w14:textFill>
        </w:rPr>
        <w:t>%左右</w:t>
      </w:r>
      <w:bookmarkEnd w:id="112"/>
      <w:r>
        <w:rPr>
          <w:rFonts w:hint="eastAsia" w:ascii="仿宋_GB2312" w:hAnsi="仿宋_GB2312" w:eastAsia="仿宋_GB2312" w:cs="仿宋_GB2312"/>
          <w:color w:val="000000" w:themeColor="text1"/>
          <w:sz w:val="28"/>
          <w:szCs w:val="28"/>
          <w14:textFill>
            <w14:solidFill>
              <w14:schemeClr w14:val="tx1"/>
            </w14:solidFill>
          </w14:textFill>
        </w:rPr>
        <w:t>，社会消费品零售总额力争实现年均增长8%以上，到2025年突破106亿元；财政收入实现稳步增长，固定资产投资更加有效，实体经济的发展支撑作用明显加强；形成先进制造业和现代服务业共同主导、传统产业高新化与新兴产业培育集聚双轮驱动的发展格局。</w:t>
      </w:r>
    </w:p>
    <w:p w14:paraId="47096E7D">
      <w:pPr>
        <w:keepNext w:val="0"/>
        <w:keepLines w:val="0"/>
        <w:pageBreakBefore w:val="0"/>
        <w:widowControl w:val="0"/>
        <w:kinsoku/>
        <w:wordWrap/>
        <w:overflowPunct/>
        <w:topLinePunct w:val="0"/>
        <w:autoSpaceDE/>
        <w:autoSpaceDN/>
        <w:bidi w:val="0"/>
        <w:spacing w:line="500" w:lineRule="exact"/>
        <w:ind w:firstLine="560" w:firstLineChars="200"/>
        <w:textAlignment w:val="auto"/>
        <w:outlineLvl w:val="2"/>
        <w:rPr>
          <w:rFonts w:ascii="楷体_GB2312" w:hAnsi="楷体_GB2312" w:eastAsia="楷体_GB2312" w:cs="楷体_GB2312"/>
          <w:b w:val="0"/>
          <w:bCs w:val="0"/>
          <w:color w:val="000000" w:themeColor="text1"/>
          <w:sz w:val="28"/>
          <w:szCs w:val="28"/>
          <w14:textFill>
            <w14:solidFill>
              <w14:schemeClr w14:val="tx1"/>
            </w14:solidFill>
          </w14:textFill>
        </w:rPr>
      </w:pPr>
      <w:bookmarkStart w:id="113" w:name="_Toc13274"/>
      <w:bookmarkStart w:id="114" w:name="_Toc19915"/>
      <w:r>
        <w:rPr>
          <w:rFonts w:hint="eastAsia" w:ascii="楷体_GB2312" w:hAnsi="楷体_GB2312" w:eastAsia="楷体_GB2312" w:cs="楷体_GB2312"/>
          <w:b w:val="0"/>
          <w:bCs w:val="0"/>
          <w:color w:val="000000" w:themeColor="text1"/>
          <w:sz w:val="28"/>
          <w:szCs w:val="28"/>
          <w14:textFill>
            <w14:solidFill>
              <w14:schemeClr w14:val="tx1"/>
            </w14:solidFill>
          </w14:textFill>
        </w:rPr>
        <w:t>（二）城乡发展更快</w:t>
      </w:r>
      <w:bookmarkEnd w:id="113"/>
      <w:bookmarkEnd w:id="114"/>
    </w:p>
    <w:p w14:paraId="6C380CBA">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新型城镇化建设取得新突破，城市功能进一步完善，城市承载力明显提高，县城常住人口突破</w:t>
      </w:r>
      <w:r>
        <w:rPr>
          <w:rFonts w:ascii="仿宋_GB2312" w:hAnsi="仿宋_GB2312" w:eastAsia="仿宋_GB2312" w:cs="仿宋_GB2312"/>
          <w:color w:val="000000" w:themeColor="text1"/>
          <w:sz w:val="28"/>
          <w:szCs w:val="28"/>
          <w14:textFill>
            <w14:solidFill>
              <w14:schemeClr w14:val="tx1"/>
            </w14:solidFill>
          </w14:textFill>
        </w:rPr>
        <w:t>24</w:t>
      </w:r>
      <w:r>
        <w:rPr>
          <w:rFonts w:hint="eastAsia" w:ascii="仿宋_GB2312" w:hAnsi="仿宋_GB2312" w:eastAsia="仿宋_GB2312" w:cs="仿宋_GB2312"/>
          <w:color w:val="000000" w:themeColor="text1"/>
          <w:sz w:val="28"/>
          <w:szCs w:val="28"/>
          <w14:textFill>
            <w14:solidFill>
              <w14:schemeClr w14:val="tx1"/>
            </w14:solidFill>
          </w14:textFill>
        </w:rPr>
        <w:t>万，全县城镇化率达到6</w:t>
      </w:r>
      <w:r>
        <w:rPr>
          <w:rFonts w:ascii="仿宋_GB2312" w:hAnsi="仿宋_GB2312" w:eastAsia="仿宋_GB2312" w:cs="仿宋_GB2312"/>
          <w:color w:val="000000" w:themeColor="text1"/>
          <w:sz w:val="28"/>
          <w:szCs w:val="28"/>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%以上。乡村振兴取得阶段性进展，制度框架和政策体系基本成熟，农业农村现代化取得实质性进展。城乡协调性明显增强。</w:t>
      </w:r>
    </w:p>
    <w:p w14:paraId="0D1C46F6">
      <w:pPr>
        <w:keepNext w:val="0"/>
        <w:keepLines w:val="0"/>
        <w:pageBreakBefore w:val="0"/>
        <w:widowControl w:val="0"/>
        <w:kinsoku/>
        <w:wordWrap/>
        <w:overflowPunct/>
        <w:topLinePunct w:val="0"/>
        <w:autoSpaceDE/>
        <w:autoSpaceDN/>
        <w:bidi w:val="0"/>
        <w:spacing w:line="500" w:lineRule="exact"/>
        <w:ind w:firstLine="560" w:firstLineChars="200"/>
        <w:textAlignment w:val="auto"/>
        <w:outlineLvl w:val="2"/>
        <w:rPr>
          <w:rFonts w:ascii="楷体_GB2312" w:hAnsi="楷体_GB2312" w:eastAsia="楷体_GB2312" w:cs="楷体_GB2312"/>
          <w:b w:val="0"/>
          <w:bCs w:val="0"/>
          <w:color w:val="000000" w:themeColor="text1"/>
          <w:sz w:val="28"/>
          <w:szCs w:val="28"/>
          <w14:textFill>
            <w14:solidFill>
              <w14:schemeClr w14:val="tx1"/>
            </w14:solidFill>
          </w14:textFill>
        </w:rPr>
      </w:pPr>
      <w:bookmarkStart w:id="115" w:name="_Toc31610"/>
      <w:bookmarkStart w:id="116" w:name="_Toc1326"/>
      <w:r>
        <w:rPr>
          <w:rFonts w:hint="eastAsia" w:ascii="楷体_GB2312" w:hAnsi="楷体_GB2312" w:eastAsia="楷体_GB2312" w:cs="楷体_GB2312"/>
          <w:b w:val="0"/>
          <w:bCs w:val="0"/>
          <w:color w:val="000000" w:themeColor="text1"/>
          <w:sz w:val="28"/>
          <w:szCs w:val="28"/>
          <w14:textFill>
            <w14:solidFill>
              <w14:schemeClr w14:val="tx1"/>
            </w14:solidFill>
          </w14:textFill>
        </w:rPr>
        <w:t>（三）发展动力更足</w:t>
      </w:r>
      <w:bookmarkEnd w:id="115"/>
      <w:bookmarkEnd w:id="116"/>
    </w:p>
    <w:p w14:paraId="54C63DB3">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重点领域改革取得突破性进展，改革红利持续释放，体制机制、经济循环更加顺畅，创新驱动更加显著，营商环境更加优化，初步建成开放型经济发展新格局。羊绒、汽车及零部件等传统产业高端化全面提升，“大好高优”项目招商不断突破，老母鸡企业、瞪羚企业数量快速增加，产业链供应链水平不断提升。</w:t>
      </w:r>
    </w:p>
    <w:p w14:paraId="268AF797">
      <w:pPr>
        <w:keepNext w:val="0"/>
        <w:keepLines w:val="0"/>
        <w:pageBreakBefore w:val="0"/>
        <w:widowControl w:val="0"/>
        <w:kinsoku/>
        <w:wordWrap/>
        <w:overflowPunct/>
        <w:topLinePunct w:val="0"/>
        <w:autoSpaceDE/>
        <w:autoSpaceDN/>
        <w:bidi w:val="0"/>
        <w:spacing w:line="500" w:lineRule="exact"/>
        <w:ind w:firstLine="560" w:firstLineChars="200"/>
        <w:textAlignment w:val="auto"/>
        <w:outlineLvl w:val="2"/>
        <w:rPr>
          <w:rFonts w:ascii="楷体_GB2312" w:hAnsi="楷体_GB2312" w:eastAsia="楷体_GB2312" w:cs="楷体_GB2312"/>
          <w:b w:val="0"/>
          <w:bCs w:val="0"/>
          <w:color w:val="000000" w:themeColor="text1"/>
          <w:sz w:val="28"/>
          <w:szCs w:val="28"/>
          <w14:textFill>
            <w14:solidFill>
              <w14:schemeClr w14:val="tx1"/>
            </w14:solidFill>
          </w14:textFill>
        </w:rPr>
      </w:pPr>
      <w:bookmarkStart w:id="117" w:name="_Toc31385"/>
      <w:bookmarkStart w:id="118" w:name="_Toc2700"/>
      <w:r>
        <w:rPr>
          <w:rFonts w:hint="eastAsia" w:ascii="楷体_GB2312" w:hAnsi="楷体_GB2312" w:eastAsia="楷体_GB2312" w:cs="楷体_GB2312"/>
          <w:b w:val="0"/>
          <w:bCs w:val="0"/>
          <w:color w:val="000000" w:themeColor="text1"/>
          <w:sz w:val="28"/>
          <w:szCs w:val="28"/>
          <w14:textFill>
            <w14:solidFill>
              <w14:schemeClr w14:val="tx1"/>
            </w14:solidFill>
          </w14:textFill>
        </w:rPr>
        <w:t>（四）生态环境更美</w:t>
      </w:r>
      <w:bookmarkEnd w:id="117"/>
      <w:bookmarkEnd w:id="118"/>
    </w:p>
    <w:p w14:paraId="5D6F2B86">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空气质量持续稳定改善，优良天数持续增加</w:t>
      </w:r>
      <w:r>
        <w:rPr>
          <w:rFonts w:hint="eastAsia" w:ascii="Times New Roman" w:hAnsi="Times New Roman" w:eastAsia="仿宋_GB2312" w:cs="Times New Roman"/>
          <w:color w:val="000000" w:themeColor="text1"/>
          <w:sz w:val="28"/>
          <w:szCs w:val="28"/>
          <w14:textFill>
            <w14:solidFill>
              <w14:schemeClr w14:val="tx1"/>
            </w14:solidFill>
          </w14:textFill>
        </w:rPr>
        <w:t>。地下水质量保持稳定，饮用水安全保障水平持续提升。土壤环境质量继续保持较好态势。生态系统稳定恢复，突出环境问题得到有效解决，生态风险得到有效控制，</w:t>
      </w:r>
      <w:r>
        <w:rPr>
          <w:rFonts w:ascii="Times New Roman" w:hAnsi="Times New Roman" w:eastAsia="仿宋_GB2312" w:cs="Times New Roman"/>
          <w:color w:val="000000" w:themeColor="text1"/>
          <w:sz w:val="28"/>
          <w:szCs w:val="28"/>
          <w14:textFill>
            <w14:solidFill>
              <w14:schemeClr w14:val="tx1"/>
            </w14:solidFill>
          </w14:textFill>
        </w:rPr>
        <w:t>生态环境质量明显改善</w:t>
      </w:r>
      <w:r>
        <w:rPr>
          <w:rFonts w:hint="eastAsia" w:ascii="Times New Roman" w:hAnsi="Times New Roman" w:eastAsia="仿宋_GB2312" w:cs="Times New Roman"/>
          <w:color w:val="000000" w:themeColor="text1"/>
          <w:sz w:val="28"/>
          <w:szCs w:val="28"/>
          <w14:textFill>
            <w14:solidFill>
              <w14:schemeClr w14:val="tx1"/>
            </w14:solidFill>
          </w14:textFill>
        </w:rPr>
        <w:t>。</w:t>
      </w:r>
    </w:p>
    <w:p w14:paraId="7F3AB625">
      <w:pPr>
        <w:keepNext w:val="0"/>
        <w:keepLines w:val="0"/>
        <w:pageBreakBefore w:val="0"/>
        <w:widowControl w:val="0"/>
        <w:kinsoku/>
        <w:wordWrap/>
        <w:overflowPunct/>
        <w:topLinePunct w:val="0"/>
        <w:autoSpaceDE/>
        <w:autoSpaceDN/>
        <w:bidi w:val="0"/>
        <w:spacing w:line="500" w:lineRule="exact"/>
        <w:ind w:firstLine="560" w:firstLineChars="200"/>
        <w:textAlignment w:val="auto"/>
        <w:outlineLvl w:val="2"/>
        <w:rPr>
          <w:rFonts w:ascii="楷体_GB2312" w:hAnsi="楷体_GB2312" w:eastAsia="楷体_GB2312" w:cs="楷体_GB2312"/>
          <w:b w:val="0"/>
          <w:bCs w:val="0"/>
          <w:color w:val="000000" w:themeColor="text1"/>
          <w:sz w:val="28"/>
          <w:szCs w:val="28"/>
          <w14:textFill>
            <w14:solidFill>
              <w14:schemeClr w14:val="tx1"/>
            </w14:solidFill>
          </w14:textFill>
        </w:rPr>
      </w:pPr>
      <w:bookmarkStart w:id="119" w:name="_Toc912"/>
      <w:bookmarkStart w:id="120" w:name="_Toc7332"/>
      <w:r>
        <w:rPr>
          <w:rFonts w:hint="eastAsia" w:ascii="楷体_GB2312" w:hAnsi="楷体_GB2312" w:eastAsia="楷体_GB2312" w:cs="楷体_GB2312"/>
          <w:b w:val="0"/>
          <w:bCs w:val="0"/>
          <w:color w:val="000000" w:themeColor="text1"/>
          <w:sz w:val="28"/>
          <w:szCs w:val="28"/>
          <w14:textFill>
            <w14:solidFill>
              <w14:schemeClr w14:val="tx1"/>
            </w14:solidFill>
          </w14:textFill>
        </w:rPr>
        <w:t>（五）人民生活更好</w:t>
      </w:r>
      <w:bookmarkEnd w:id="119"/>
      <w:bookmarkEnd w:id="120"/>
    </w:p>
    <w:p w14:paraId="6FC5B3DF">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实现更加充分高质量就业，居民收入来源更加广泛，居民收入增长和经济增长基本同步，城乡居民收入差距逐步缩小。基本公共服务均等化水平不断提高，多层次社会保障体系更加完善，脱贫成果更加巩固。社会事业全面均衡发展，更好满足人民群众物质文化需求。</w:t>
      </w:r>
    </w:p>
    <w:p w14:paraId="78BBDB7C">
      <w:pPr>
        <w:keepNext w:val="0"/>
        <w:keepLines w:val="0"/>
        <w:pageBreakBefore w:val="0"/>
        <w:widowControl w:val="0"/>
        <w:kinsoku/>
        <w:wordWrap/>
        <w:overflowPunct/>
        <w:topLinePunct w:val="0"/>
        <w:autoSpaceDE/>
        <w:autoSpaceDN/>
        <w:bidi w:val="0"/>
        <w:spacing w:line="500" w:lineRule="exact"/>
        <w:ind w:firstLine="560" w:firstLineChars="200"/>
        <w:textAlignment w:val="auto"/>
        <w:outlineLvl w:val="2"/>
        <w:rPr>
          <w:rFonts w:ascii="楷体_GB2312" w:hAnsi="楷体_GB2312" w:eastAsia="楷体_GB2312" w:cs="楷体_GB2312"/>
          <w:b w:val="0"/>
          <w:bCs/>
          <w:color w:val="000000" w:themeColor="text1"/>
          <w:kern w:val="0"/>
          <w:sz w:val="28"/>
          <w:szCs w:val="28"/>
          <w14:textFill>
            <w14:solidFill>
              <w14:schemeClr w14:val="tx1"/>
            </w14:solidFill>
          </w14:textFill>
        </w:rPr>
      </w:pPr>
      <w:bookmarkStart w:id="121" w:name="_Toc23962"/>
      <w:bookmarkStart w:id="122" w:name="_Toc28796"/>
      <w:r>
        <w:rPr>
          <w:rFonts w:hint="eastAsia" w:ascii="楷体_GB2312" w:hAnsi="楷体_GB2312" w:eastAsia="楷体_GB2312" w:cs="楷体_GB2312"/>
          <w:b w:val="0"/>
          <w:bCs/>
          <w:color w:val="000000" w:themeColor="text1"/>
          <w:kern w:val="0"/>
          <w:sz w:val="28"/>
          <w:szCs w:val="28"/>
          <w14:textFill>
            <w14:solidFill>
              <w14:schemeClr w14:val="tx1"/>
            </w14:solidFill>
          </w14:textFill>
        </w:rPr>
        <w:t>（六）社会治理更优</w:t>
      </w:r>
      <w:bookmarkEnd w:id="121"/>
      <w:bookmarkEnd w:id="122"/>
    </w:p>
    <w:p w14:paraId="06503314">
      <w:pPr>
        <w:keepNext w:val="0"/>
        <w:keepLines w:val="0"/>
        <w:pageBreakBefore w:val="0"/>
        <w:widowControl w:val="0"/>
        <w:kinsoku/>
        <w:wordWrap/>
        <w:overflowPunct/>
        <w:topLinePunct w:val="0"/>
        <w:autoSpaceDE/>
        <w:autoSpaceDN/>
        <w:bidi w:val="0"/>
        <w:spacing w:line="500" w:lineRule="exact"/>
        <w:ind w:firstLine="560" w:firstLineChars="200"/>
        <w:textAlignment w:val="auto"/>
        <w:rPr>
          <w:color w:val="000000" w:themeColor="text1"/>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全县社会治理体系更加完善，共建共治共享社会治理格局初步形成，党群干群关系更加密切，社会治理现代化水平大幅度提升。风险预测预警预防能力明显提高，重特大刑事案件、群体性事件、公共安全事件明显减少，人民群众安全感、满意度进一步增强。</w:t>
      </w:r>
      <w:bookmarkStart w:id="123" w:name="_Toc892"/>
      <w:r>
        <w:rPr>
          <w:color w:val="000000" w:themeColor="text1"/>
          <w14:textFill>
            <w14:solidFill>
              <w14:schemeClr w14:val="tx1"/>
            </w14:solidFill>
          </w14:textFill>
        </w:rPr>
        <w:br w:type="page"/>
      </w:r>
    </w:p>
    <w:p w14:paraId="3CCF19EE">
      <w:pPr>
        <w:keepNext w:val="0"/>
        <w:keepLines w:val="0"/>
        <w:pageBreakBefore w:val="0"/>
        <w:widowControl w:val="0"/>
        <w:kinsoku/>
        <w:wordWrap/>
        <w:overflowPunct/>
        <w:topLinePunct w:val="0"/>
        <w:autoSpaceDE/>
        <w:autoSpaceDN/>
        <w:bidi w:val="0"/>
        <w:jc w:val="center"/>
        <w:textAlignment w:val="auto"/>
        <w:outlineLvl w:val="2"/>
        <w:rPr>
          <w:rFonts w:ascii="方正小标宋简体" w:hAnsi="方正小标宋简体" w:eastAsia="方正小标宋简体" w:cs="方正小标宋简体"/>
          <w:color w:val="000000" w:themeColor="text1"/>
          <w:sz w:val="36"/>
          <w:szCs w:val="40"/>
          <w14:textFill>
            <w14:solidFill>
              <w14:schemeClr w14:val="tx1"/>
            </w14:solidFill>
          </w14:textFill>
        </w:rPr>
      </w:pPr>
      <w:bookmarkStart w:id="124" w:name="_Toc7909"/>
      <w:bookmarkStart w:id="125" w:name="_Toc14866"/>
      <w:bookmarkStart w:id="126" w:name="_Toc63332978"/>
      <w:bookmarkStart w:id="127" w:name="_Toc32348"/>
      <w:r>
        <w:rPr>
          <w:rFonts w:hint="eastAsia" w:ascii="方正小标宋简体" w:hAnsi="方正小标宋简体" w:eastAsia="方正小标宋简体" w:cs="方正小标宋简体"/>
          <w:color w:val="000000" w:themeColor="text1"/>
          <w:sz w:val="36"/>
          <w:szCs w:val="40"/>
          <w14:textFill>
            <w14:solidFill>
              <w14:schemeClr w14:val="tx1"/>
            </w14:solidFill>
          </w14:textFill>
        </w:rPr>
        <w:t>清河县“十四五”期间经济社会发展主要指标</w:t>
      </w:r>
      <w:bookmarkEnd w:id="124"/>
      <w:bookmarkEnd w:id="125"/>
      <w:bookmarkEnd w:id="126"/>
      <w:bookmarkEnd w:id="127"/>
    </w:p>
    <w:p w14:paraId="26D83CC2">
      <w:pPr>
        <w:pStyle w:val="10"/>
        <w:keepNext w:val="0"/>
        <w:keepLines w:val="0"/>
        <w:pageBreakBefore w:val="0"/>
        <w:widowControl w:val="0"/>
        <w:kinsoku/>
        <w:wordWrap/>
        <w:overflowPunct/>
        <w:topLinePunct w:val="0"/>
        <w:autoSpaceDE/>
        <w:autoSpaceDN/>
        <w:bidi w:val="0"/>
        <w:textAlignment w:val="auto"/>
        <w:rPr>
          <w:color w:val="000000" w:themeColor="text1"/>
          <w14:textFill>
            <w14:solidFill>
              <w14:schemeClr w14:val="tx1"/>
            </w14:solidFill>
          </w14:textFill>
        </w:rPr>
      </w:pPr>
    </w:p>
    <w:tbl>
      <w:tblPr>
        <w:tblStyle w:val="25"/>
        <w:tblW w:w="8897" w:type="dxa"/>
        <w:jc w:val="center"/>
        <w:tblLayout w:type="fixed"/>
        <w:tblCellMar>
          <w:top w:w="0" w:type="dxa"/>
          <w:left w:w="108" w:type="dxa"/>
          <w:bottom w:w="0" w:type="dxa"/>
          <w:right w:w="108" w:type="dxa"/>
        </w:tblCellMar>
      </w:tblPr>
      <w:tblGrid>
        <w:gridCol w:w="817"/>
        <w:gridCol w:w="4394"/>
        <w:gridCol w:w="1228"/>
        <w:gridCol w:w="1229"/>
        <w:gridCol w:w="1229"/>
      </w:tblGrid>
      <w:tr w14:paraId="6596ABA9">
        <w:tblPrEx>
          <w:tblCellMar>
            <w:top w:w="0" w:type="dxa"/>
            <w:left w:w="108" w:type="dxa"/>
            <w:bottom w:w="0" w:type="dxa"/>
            <w:right w:w="108" w:type="dxa"/>
          </w:tblCellMar>
        </w:tblPrEx>
        <w:trPr>
          <w:trHeight w:val="389"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3EBAB7CD">
            <w:pPr>
              <w:pStyle w:val="10"/>
              <w:keepNext w:val="0"/>
              <w:keepLines w:val="0"/>
              <w:pageBreakBefore w:val="0"/>
              <w:widowControl w:val="0"/>
              <w:kinsoku/>
              <w:wordWrap/>
              <w:overflowPunct/>
              <w:topLinePunct w:val="0"/>
              <w:autoSpaceDE/>
              <w:autoSpaceDN/>
              <w:bidi w:val="0"/>
              <w:spacing w:line="300" w:lineRule="exact"/>
              <w:jc w:val="center"/>
              <w:textAlignment w:val="auto"/>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类别</w:t>
            </w:r>
          </w:p>
        </w:tc>
        <w:tc>
          <w:tcPr>
            <w:tcW w:w="4394" w:type="dxa"/>
            <w:tcBorders>
              <w:top w:val="single" w:color="auto" w:sz="4" w:space="0"/>
              <w:left w:val="single" w:color="auto" w:sz="4" w:space="0"/>
              <w:bottom w:val="single" w:color="auto" w:sz="4" w:space="0"/>
              <w:right w:val="single" w:color="auto" w:sz="4" w:space="0"/>
            </w:tcBorders>
            <w:vAlign w:val="center"/>
          </w:tcPr>
          <w:p w14:paraId="7EC16CEB">
            <w:pPr>
              <w:pStyle w:val="10"/>
              <w:keepNext w:val="0"/>
              <w:keepLines w:val="0"/>
              <w:pageBreakBefore w:val="0"/>
              <w:widowControl w:val="0"/>
              <w:kinsoku/>
              <w:wordWrap/>
              <w:overflowPunct/>
              <w:topLinePunct w:val="0"/>
              <w:autoSpaceDE/>
              <w:autoSpaceDN/>
              <w:bidi w:val="0"/>
              <w:spacing w:line="300" w:lineRule="exact"/>
              <w:ind w:firstLine="420"/>
              <w:jc w:val="center"/>
              <w:textAlignment w:val="auto"/>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指标</w:t>
            </w:r>
          </w:p>
        </w:tc>
        <w:tc>
          <w:tcPr>
            <w:tcW w:w="1228" w:type="dxa"/>
            <w:tcBorders>
              <w:top w:val="single" w:color="auto" w:sz="4" w:space="0"/>
              <w:left w:val="single" w:color="auto" w:sz="4" w:space="0"/>
              <w:bottom w:val="single" w:color="auto" w:sz="4" w:space="0"/>
              <w:right w:val="single" w:color="auto" w:sz="4" w:space="0"/>
            </w:tcBorders>
            <w:vAlign w:val="center"/>
          </w:tcPr>
          <w:p w14:paraId="7E75829F">
            <w:pPr>
              <w:pStyle w:val="10"/>
              <w:keepNext w:val="0"/>
              <w:keepLines w:val="0"/>
              <w:pageBreakBefore w:val="0"/>
              <w:widowControl w:val="0"/>
              <w:kinsoku/>
              <w:wordWrap/>
              <w:overflowPunct/>
              <w:topLinePunct w:val="0"/>
              <w:autoSpaceDE/>
              <w:autoSpaceDN/>
              <w:bidi w:val="0"/>
              <w:spacing w:line="300" w:lineRule="exact"/>
              <w:jc w:val="center"/>
              <w:textAlignment w:val="auto"/>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2020年</w:t>
            </w:r>
          </w:p>
          <w:p w14:paraId="20F429F8">
            <w:pPr>
              <w:pStyle w:val="10"/>
              <w:keepNext w:val="0"/>
              <w:keepLines w:val="0"/>
              <w:pageBreakBefore w:val="0"/>
              <w:widowControl w:val="0"/>
              <w:kinsoku/>
              <w:wordWrap/>
              <w:overflowPunct/>
              <w:topLinePunct w:val="0"/>
              <w:autoSpaceDE/>
              <w:autoSpaceDN/>
              <w:bidi w:val="0"/>
              <w:spacing w:line="300" w:lineRule="exact"/>
              <w:jc w:val="center"/>
              <w:textAlignment w:val="auto"/>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基数</w:t>
            </w:r>
          </w:p>
        </w:tc>
        <w:tc>
          <w:tcPr>
            <w:tcW w:w="1229" w:type="dxa"/>
            <w:tcBorders>
              <w:top w:val="single" w:color="auto" w:sz="4" w:space="0"/>
              <w:left w:val="single" w:color="auto" w:sz="4" w:space="0"/>
              <w:bottom w:val="single" w:color="auto" w:sz="4" w:space="0"/>
              <w:right w:val="single" w:color="auto" w:sz="4" w:space="0"/>
            </w:tcBorders>
            <w:vAlign w:val="center"/>
          </w:tcPr>
          <w:p w14:paraId="3AB209AC">
            <w:pPr>
              <w:pStyle w:val="10"/>
              <w:keepNext w:val="0"/>
              <w:keepLines w:val="0"/>
              <w:pageBreakBefore w:val="0"/>
              <w:widowControl w:val="0"/>
              <w:kinsoku/>
              <w:wordWrap/>
              <w:overflowPunct/>
              <w:topLinePunct w:val="0"/>
              <w:autoSpaceDE/>
              <w:autoSpaceDN/>
              <w:bidi w:val="0"/>
              <w:spacing w:line="300" w:lineRule="exact"/>
              <w:jc w:val="center"/>
              <w:textAlignment w:val="auto"/>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2025年</w:t>
            </w:r>
          </w:p>
          <w:p w14:paraId="41308684">
            <w:pPr>
              <w:pStyle w:val="10"/>
              <w:keepNext w:val="0"/>
              <w:keepLines w:val="0"/>
              <w:pageBreakBefore w:val="0"/>
              <w:widowControl w:val="0"/>
              <w:kinsoku/>
              <w:wordWrap/>
              <w:overflowPunct/>
              <w:topLinePunct w:val="0"/>
              <w:autoSpaceDE/>
              <w:autoSpaceDN/>
              <w:bidi w:val="0"/>
              <w:spacing w:line="300" w:lineRule="exact"/>
              <w:jc w:val="center"/>
              <w:textAlignment w:val="auto"/>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目标</w:t>
            </w:r>
          </w:p>
        </w:tc>
        <w:tc>
          <w:tcPr>
            <w:tcW w:w="1229" w:type="dxa"/>
            <w:tcBorders>
              <w:top w:val="single" w:color="auto" w:sz="4" w:space="0"/>
              <w:left w:val="single" w:color="auto" w:sz="4" w:space="0"/>
              <w:bottom w:val="single" w:color="auto" w:sz="4" w:space="0"/>
              <w:right w:val="single" w:color="auto" w:sz="4" w:space="0"/>
            </w:tcBorders>
            <w:vAlign w:val="center"/>
          </w:tcPr>
          <w:p w14:paraId="2D5ACBE3">
            <w:pPr>
              <w:pStyle w:val="10"/>
              <w:keepNext w:val="0"/>
              <w:keepLines w:val="0"/>
              <w:pageBreakBefore w:val="0"/>
              <w:widowControl w:val="0"/>
              <w:kinsoku/>
              <w:wordWrap/>
              <w:overflowPunct/>
              <w:topLinePunct w:val="0"/>
              <w:autoSpaceDE/>
              <w:autoSpaceDN/>
              <w:bidi w:val="0"/>
              <w:spacing w:line="300" w:lineRule="exact"/>
              <w:jc w:val="center"/>
              <w:textAlignment w:val="auto"/>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年均增长</w:t>
            </w:r>
          </w:p>
          <w:p w14:paraId="67CBFE0C">
            <w:pPr>
              <w:pStyle w:val="10"/>
              <w:keepNext w:val="0"/>
              <w:keepLines w:val="0"/>
              <w:pageBreakBefore w:val="0"/>
              <w:widowControl w:val="0"/>
              <w:kinsoku/>
              <w:wordWrap/>
              <w:overflowPunct/>
              <w:topLinePunct w:val="0"/>
              <w:autoSpaceDE/>
              <w:autoSpaceDN/>
              <w:bidi w:val="0"/>
              <w:spacing w:line="300" w:lineRule="exact"/>
              <w:jc w:val="center"/>
              <w:textAlignment w:val="auto"/>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[累计]</w:t>
            </w:r>
          </w:p>
        </w:tc>
      </w:tr>
      <w:tr w14:paraId="1B4CE256">
        <w:tblPrEx>
          <w:tblCellMar>
            <w:top w:w="0" w:type="dxa"/>
            <w:left w:w="108" w:type="dxa"/>
            <w:bottom w:w="0" w:type="dxa"/>
            <w:right w:w="108" w:type="dxa"/>
          </w:tblCellMar>
        </w:tblPrEx>
        <w:trPr>
          <w:trHeight w:val="225" w:hRule="atLeast"/>
          <w:jc w:val="center"/>
        </w:trPr>
        <w:tc>
          <w:tcPr>
            <w:tcW w:w="817" w:type="dxa"/>
            <w:vMerge w:val="restart"/>
            <w:tcBorders>
              <w:top w:val="single" w:color="auto" w:sz="4" w:space="0"/>
              <w:left w:val="single" w:color="auto" w:sz="4" w:space="0"/>
              <w:bottom w:val="single" w:color="auto" w:sz="4" w:space="0"/>
              <w:right w:val="single" w:color="auto" w:sz="4" w:space="0"/>
            </w:tcBorders>
            <w:vAlign w:val="center"/>
          </w:tcPr>
          <w:p w14:paraId="404FD17C">
            <w:pPr>
              <w:pStyle w:val="10"/>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cs="宋体"/>
                <w:color w:val="000000" w:themeColor="text1"/>
                <w:szCs w:val="21"/>
                <w14:textFill>
                  <w14:solidFill>
                    <w14:schemeClr w14:val="tx1"/>
                  </w14:solidFill>
                </w14:textFill>
              </w:rPr>
            </w:pPr>
            <w:r>
              <w:rPr>
                <w:rFonts w:hint="eastAsia" w:ascii="宋体" w:eastAsia="宋体" w:cs="宋体"/>
                <w:color w:val="000000" w:themeColor="text1"/>
                <w:szCs w:val="21"/>
                <w14:textFill>
                  <w14:solidFill>
                    <w14:schemeClr w14:val="tx1"/>
                  </w14:solidFill>
                </w14:textFill>
              </w:rPr>
              <w:t>经济发展</w:t>
            </w:r>
          </w:p>
        </w:tc>
        <w:tc>
          <w:tcPr>
            <w:tcW w:w="4394" w:type="dxa"/>
            <w:tcBorders>
              <w:top w:val="single" w:color="auto" w:sz="4" w:space="0"/>
              <w:left w:val="single" w:color="auto" w:sz="4" w:space="0"/>
              <w:bottom w:val="single" w:color="auto" w:sz="4" w:space="0"/>
              <w:right w:val="single" w:color="auto" w:sz="4" w:space="0"/>
            </w:tcBorders>
            <w:vAlign w:val="center"/>
          </w:tcPr>
          <w:p w14:paraId="4315A37D">
            <w:pPr>
              <w:pStyle w:val="3"/>
              <w:keepNext w:val="0"/>
              <w:keepLines w:val="0"/>
              <w:pageBreakBefore w:val="0"/>
              <w:widowControl w:val="0"/>
              <w:kinsoku/>
              <w:wordWrap/>
              <w:overflowPunct/>
              <w:topLinePunct w:val="0"/>
              <w:autoSpaceDE/>
              <w:autoSpaceDN/>
              <w:bidi w:val="0"/>
              <w:spacing w:after="0" w:line="300" w:lineRule="exact"/>
              <w:ind w:left="0"/>
              <w:jc w:val="left"/>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1.地区生产总值（GDP）增长率（%）</w:t>
            </w:r>
          </w:p>
        </w:tc>
        <w:tc>
          <w:tcPr>
            <w:tcW w:w="1228" w:type="dxa"/>
            <w:tcBorders>
              <w:top w:val="single" w:color="auto" w:sz="4" w:space="0"/>
              <w:left w:val="single" w:color="auto" w:sz="4" w:space="0"/>
              <w:bottom w:val="single" w:color="auto" w:sz="4" w:space="0"/>
              <w:right w:val="single" w:color="auto" w:sz="4" w:space="0"/>
            </w:tcBorders>
            <w:vAlign w:val="center"/>
          </w:tcPr>
          <w:p w14:paraId="72A75D8B">
            <w:pPr>
              <w:pStyle w:val="10"/>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cs="宋体"/>
                <w:color w:val="000000" w:themeColor="text1"/>
                <w:szCs w:val="21"/>
                <w14:textFill>
                  <w14:solidFill>
                    <w14:schemeClr w14:val="tx1"/>
                  </w14:solidFill>
                </w14:textFill>
              </w:rPr>
            </w:pPr>
            <w:r>
              <w:rPr>
                <w:rFonts w:hint="eastAsia" w:ascii="宋体" w:eastAsia="宋体" w:cs="宋体"/>
                <w:color w:val="000000" w:themeColor="text1"/>
                <w:szCs w:val="21"/>
                <w14:textFill>
                  <w14:solidFill>
                    <w14:schemeClr w14:val="tx1"/>
                  </w14:solidFill>
                </w14:textFill>
              </w:rPr>
              <w:t>5</w:t>
            </w:r>
            <w:r>
              <w:rPr>
                <w:rFonts w:ascii="宋体" w:eastAsia="宋体" w:cs="宋体"/>
                <w:color w:val="000000" w:themeColor="text1"/>
                <w:szCs w:val="21"/>
                <w14:textFill>
                  <w14:solidFill>
                    <w14:schemeClr w14:val="tx1"/>
                  </w14:solidFill>
                </w14:textFill>
              </w:rPr>
              <w:t>.50</w:t>
            </w:r>
          </w:p>
        </w:tc>
        <w:tc>
          <w:tcPr>
            <w:tcW w:w="1229" w:type="dxa"/>
            <w:tcBorders>
              <w:top w:val="single" w:color="auto" w:sz="4" w:space="0"/>
              <w:left w:val="single" w:color="auto" w:sz="4" w:space="0"/>
              <w:bottom w:val="single" w:color="auto" w:sz="4" w:space="0"/>
              <w:right w:val="single" w:color="auto" w:sz="4" w:space="0"/>
            </w:tcBorders>
            <w:vAlign w:val="center"/>
          </w:tcPr>
          <w:p w14:paraId="070F782F">
            <w:pPr>
              <w:pStyle w:val="10"/>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cs="宋体"/>
                <w:color w:val="000000" w:themeColor="text1"/>
                <w:szCs w:val="21"/>
                <w14:textFill>
                  <w14:solidFill>
                    <w14:schemeClr w14:val="tx1"/>
                  </w14:solidFill>
                </w14:textFill>
              </w:rPr>
            </w:pPr>
            <w:r>
              <w:rPr>
                <w:rFonts w:ascii="宋体" w:eastAsia="宋体" w:cs="宋体"/>
                <w:color w:val="000000" w:themeColor="text1"/>
                <w:szCs w:val="21"/>
                <w14:textFill>
                  <w14:solidFill>
                    <w14:schemeClr w14:val="tx1"/>
                  </w14:solidFill>
                </w14:textFill>
              </w:rPr>
              <w:t>7</w:t>
            </w:r>
          </w:p>
        </w:tc>
        <w:tc>
          <w:tcPr>
            <w:tcW w:w="1229" w:type="dxa"/>
            <w:tcBorders>
              <w:top w:val="single" w:color="auto" w:sz="4" w:space="0"/>
              <w:left w:val="single" w:color="auto" w:sz="4" w:space="0"/>
              <w:bottom w:val="single" w:color="auto" w:sz="4" w:space="0"/>
              <w:right w:val="single" w:color="auto" w:sz="4" w:space="0"/>
            </w:tcBorders>
            <w:vAlign w:val="center"/>
          </w:tcPr>
          <w:p w14:paraId="6B9CA37F">
            <w:pPr>
              <w:pStyle w:val="10"/>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cs="宋体"/>
                <w:color w:val="000000" w:themeColor="text1"/>
                <w:szCs w:val="21"/>
                <w14:textFill>
                  <w14:solidFill>
                    <w14:schemeClr w14:val="tx1"/>
                  </w14:solidFill>
                </w14:textFill>
              </w:rPr>
            </w:pPr>
            <w:r>
              <w:rPr>
                <w:rFonts w:hint="eastAsia" w:ascii="宋体" w:eastAsia="宋体" w:cs="宋体"/>
                <w:color w:val="000000" w:themeColor="text1"/>
                <w:szCs w:val="21"/>
                <w14:textFill>
                  <w14:solidFill>
                    <w14:schemeClr w14:val="tx1"/>
                  </w14:solidFill>
                </w14:textFill>
              </w:rPr>
              <w:t>7左右</w:t>
            </w:r>
          </w:p>
        </w:tc>
      </w:tr>
      <w:tr w14:paraId="2BBF64D9">
        <w:tblPrEx>
          <w:tblCellMar>
            <w:top w:w="0" w:type="dxa"/>
            <w:left w:w="108" w:type="dxa"/>
            <w:bottom w:w="0" w:type="dxa"/>
            <w:right w:w="108" w:type="dxa"/>
          </w:tblCellMar>
        </w:tblPrEx>
        <w:trPr>
          <w:trHeight w:val="216" w:hRule="atLeast"/>
          <w:jc w:val="center"/>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4D2D8009">
            <w:pPr>
              <w:pStyle w:val="10"/>
              <w:keepNext w:val="0"/>
              <w:keepLines w:val="0"/>
              <w:pageBreakBefore w:val="0"/>
              <w:widowControl w:val="0"/>
              <w:kinsoku/>
              <w:wordWrap/>
              <w:overflowPunct/>
              <w:topLinePunct w:val="0"/>
              <w:autoSpaceDE/>
              <w:autoSpaceDN/>
              <w:bidi w:val="0"/>
              <w:spacing w:line="300" w:lineRule="exact"/>
              <w:ind w:firstLine="420"/>
              <w:jc w:val="center"/>
              <w:textAlignment w:val="auto"/>
              <w:rPr>
                <w:rFonts w:ascii="宋体" w:eastAsia="宋体" w:cs="宋体"/>
                <w:color w:val="000000" w:themeColor="text1"/>
                <w:szCs w:val="21"/>
                <w14:textFill>
                  <w14:solidFill>
                    <w14:schemeClr w14:val="tx1"/>
                  </w14:solidFill>
                </w14:textFill>
              </w:rPr>
            </w:pPr>
          </w:p>
        </w:tc>
        <w:tc>
          <w:tcPr>
            <w:tcW w:w="4394" w:type="dxa"/>
            <w:tcBorders>
              <w:top w:val="single" w:color="auto" w:sz="4" w:space="0"/>
              <w:left w:val="single" w:color="auto" w:sz="4" w:space="0"/>
              <w:bottom w:val="single" w:color="auto" w:sz="4" w:space="0"/>
              <w:right w:val="single" w:color="auto" w:sz="4" w:space="0"/>
            </w:tcBorders>
            <w:vAlign w:val="center"/>
          </w:tcPr>
          <w:p w14:paraId="33CB2CE9">
            <w:pPr>
              <w:keepNext w:val="0"/>
              <w:keepLines w:val="0"/>
              <w:pageBreakBefore w:val="0"/>
              <w:widowControl w:val="0"/>
              <w:kinsoku/>
              <w:wordWrap/>
              <w:overflowPunct/>
              <w:topLinePunct w:val="0"/>
              <w:autoSpaceDE/>
              <w:autoSpaceDN/>
              <w:bidi w:val="0"/>
              <w:spacing w:line="300" w:lineRule="exact"/>
              <w:jc w:val="left"/>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2.常住人口城镇化率（%）</w:t>
            </w:r>
          </w:p>
        </w:tc>
        <w:tc>
          <w:tcPr>
            <w:tcW w:w="1228" w:type="dxa"/>
            <w:tcBorders>
              <w:top w:val="single" w:color="auto" w:sz="4" w:space="0"/>
              <w:left w:val="single" w:color="auto" w:sz="4" w:space="0"/>
              <w:bottom w:val="single" w:color="auto" w:sz="4" w:space="0"/>
              <w:right w:val="single" w:color="auto" w:sz="4" w:space="0"/>
            </w:tcBorders>
            <w:vAlign w:val="center"/>
          </w:tcPr>
          <w:p w14:paraId="20B8AE89">
            <w:pPr>
              <w:pStyle w:val="10"/>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cs="宋体"/>
                <w:color w:val="000000" w:themeColor="text1"/>
                <w:szCs w:val="21"/>
                <w14:textFill>
                  <w14:solidFill>
                    <w14:schemeClr w14:val="tx1"/>
                  </w14:solidFill>
                </w14:textFill>
              </w:rPr>
            </w:pPr>
            <w:r>
              <w:rPr>
                <w:rFonts w:hint="eastAsia" w:ascii="宋体" w:eastAsia="宋体" w:cs="宋体"/>
                <w:color w:val="000000" w:themeColor="text1"/>
                <w:szCs w:val="21"/>
                <w14:textFill>
                  <w14:solidFill>
                    <w14:schemeClr w14:val="tx1"/>
                  </w14:solidFill>
                </w14:textFill>
              </w:rPr>
              <w:t>预计</w:t>
            </w:r>
            <w:r>
              <w:rPr>
                <w:rFonts w:ascii="宋体" w:eastAsia="宋体" w:cs="宋体"/>
                <w:color w:val="000000" w:themeColor="text1"/>
                <w:szCs w:val="21"/>
                <w14:textFill>
                  <w14:solidFill>
                    <w14:schemeClr w14:val="tx1"/>
                  </w14:solidFill>
                </w14:textFill>
              </w:rPr>
              <w:t>59.75</w:t>
            </w:r>
          </w:p>
        </w:tc>
        <w:tc>
          <w:tcPr>
            <w:tcW w:w="1229" w:type="dxa"/>
            <w:tcBorders>
              <w:top w:val="single" w:color="auto" w:sz="4" w:space="0"/>
              <w:left w:val="single" w:color="auto" w:sz="4" w:space="0"/>
              <w:bottom w:val="single" w:color="auto" w:sz="4" w:space="0"/>
              <w:right w:val="single" w:color="auto" w:sz="4" w:space="0"/>
            </w:tcBorders>
            <w:vAlign w:val="center"/>
          </w:tcPr>
          <w:p w14:paraId="0E4315AD">
            <w:pPr>
              <w:pStyle w:val="10"/>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cs="宋体"/>
                <w:color w:val="000000" w:themeColor="text1"/>
                <w:szCs w:val="21"/>
                <w14:textFill>
                  <w14:solidFill>
                    <w14:schemeClr w14:val="tx1"/>
                  </w14:solidFill>
                </w14:textFill>
              </w:rPr>
            </w:pPr>
            <w:r>
              <w:rPr>
                <w:rFonts w:hint="eastAsia" w:ascii="宋体" w:eastAsia="宋体" w:cs="宋体"/>
                <w:color w:val="000000" w:themeColor="text1"/>
                <w:szCs w:val="21"/>
                <w14:textFill>
                  <w14:solidFill>
                    <w14:schemeClr w14:val="tx1"/>
                  </w14:solidFill>
                </w14:textFill>
              </w:rPr>
              <w:t>6</w:t>
            </w:r>
            <w:r>
              <w:rPr>
                <w:rFonts w:ascii="宋体" w:eastAsia="宋体" w:cs="宋体"/>
                <w:color w:val="000000" w:themeColor="text1"/>
                <w:szCs w:val="21"/>
                <w14:textFill>
                  <w14:solidFill>
                    <w14:schemeClr w14:val="tx1"/>
                  </w14:solidFill>
                </w14:textFill>
              </w:rPr>
              <w:t>2</w:t>
            </w:r>
          </w:p>
        </w:tc>
        <w:tc>
          <w:tcPr>
            <w:tcW w:w="1229" w:type="dxa"/>
            <w:tcBorders>
              <w:top w:val="single" w:color="auto" w:sz="4" w:space="0"/>
              <w:left w:val="single" w:color="auto" w:sz="4" w:space="0"/>
              <w:bottom w:val="single" w:color="auto" w:sz="4" w:space="0"/>
              <w:right w:val="single" w:color="auto" w:sz="4" w:space="0"/>
            </w:tcBorders>
            <w:vAlign w:val="center"/>
          </w:tcPr>
          <w:p w14:paraId="07AC2F4E">
            <w:pPr>
              <w:pStyle w:val="10"/>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cs="宋体"/>
                <w:color w:val="000000" w:themeColor="text1"/>
                <w:szCs w:val="21"/>
                <w14:textFill>
                  <w14:solidFill>
                    <w14:schemeClr w14:val="tx1"/>
                  </w14:solidFill>
                </w14:textFill>
              </w:rPr>
            </w:pPr>
            <w:r>
              <w:rPr>
                <w:rFonts w:ascii="宋体" w:eastAsia="宋体" w:cs="宋体"/>
                <w:color w:val="000000" w:themeColor="text1"/>
                <w:szCs w:val="21"/>
                <w14:textFill>
                  <w14:solidFill>
                    <w14:schemeClr w14:val="tx1"/>
                  </w14:solidFill>
                </w14:textFill>
              </w:rPr>
              <w:t>[2.25]</w:t>
            </w:r>
          </w:p>
        </w:tc>
      </w:tr>
      <w:tr w14:paraId="672F98A9">
        <w:tblPrEx>
          <w:tblCellMar>
            <w:top w:w="0" w:type="dxa"/>
            <w:left w:w="108" w:type="dxa"/>
            <w:bottom w:w="0" w:type="dxa"/>
            <w:right w:w="108" w:type="dxa"/>
          </w:tblCellMar>
        </w:tblPrEx>
        <w:trPr>
          <w:trHeight w:val="350" w:hRule="atLeast"/>
          <w:jc w:val="center"/>
        </w:trPr>
        <w:tc>
          <w:tcPr>
            <w:tcW w:w="817" w:type="dxa"/>
            <w:vMerge w:val="restart"/>
            <w:tcBorders>
              <w:top w:val="single" w:color="auto" w:sz="4" w:space="0"/>
              <w:left w:val="single" w:color="auto" w:sz="4" w:space="0"/>
              <w:right w:val="single" w:color="auto" w:sz="4" w:space="0"/>
            </w:tcBorders>
            <w:vAlign w:val="center"/>
          </w:tcPr>
          <w:p w14:paraId="4DBDF44D">
            <w:pPr>
              <w:pStyle w:val="10"/>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cs="宋体"/>
                <w:color w:val="000000" w:themeColor="text1"/>
                <w:szCs w:val="21"/>
                <w14:textFill>
                  <w14:solidFill>
                    <w14:schemeClr w14:val="tx1"/>
                  </w14:solidFill>
                </w14:textFill>
              </w:rPr>
            </w:pPr>
            <w:r>
              <w:rPr>
                <w:rFonts w:hint="eastAsia" w:ascii="宋体" w:eastAsia="宋体" w:cs="宋体"/>
                <w:color w:val="000000" w:themeColor="text1"/>
                <w:szCs w:val="21"/>
                <w14:textFill>
                  <w14:solidFill>
                    <w14:schemeClr w14:val="tx1"/>
                  </w14:solidFill>
                </w14:textFill>
              </w:rPr>
              <w:t>创新</w:t>
            </w:r>
          </w:p>
          <w:p w14:paraId="75155B4D">
            <w:pPr>
              <w:pStyle w:val="10"/>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cs="宋体"/>
                <w:color w:val="000000" w:themeColor="text1"/>
                <w:szCs w:val="21"/>
                <w14:textFill>
                  <w14:solidFill>
                    <w14:schemeClr w14:val="tx1"/>
                  </w14:solidFill>
                </w14:textFill>
              </w:rPr>
            </w:pPr>
            <w:r>
              <w:rPr>
                <w:rFonts w:hint="eastAsia" w:ascii="宋体" w:eastAsia="宋体" w:cs="宋体"/>
                <w:color w:val="000000" w:themeColor="text1"/>
                <w:szCs w:val="21"/>
                <w14:textFill>
                  <w14:solidFill>
                    <w14:schemeClr w14:val="tx1"/>
                  </w14:solidFill>
                </w14:textFill>
              </w:rPr>
              <w:t>驱动</w:t>
            </w:r>
          </w:p>
        </w:tc>
        <w:tc>
          <w:tcPr>
            <w:tcW w:w="4394" w:type="dxa"/>
            <w:tcBorders>
              <w:top w:val="single" w:color="auto" w:sz="4" w:space="0"/>
              <w:left w:val="single" w:color="auto" w:sz="4" w:space="0"/>
              <w:bottom w:val="single" w:color="auto" w:sz="4" w:space="0"/>
              <w:right w:val="single" w:color="auto" w:sz="4" w:space="0"/>
            </w:tcBorders>
            <w:vAlign w:val="center"/>
          </w:tcPr>
          <w:p w14:paraId="4CA29B53">
            <w:pPr>
              <w:pStyle w:val="3"/>
              <w:keepNext w:val="0"/>
              <w:keepLines w:val="0"/>
              <w:pageBreakBefore w:val="0"/>
              <w:widowControl w:val="0"/>
              <w:kinsoku/>
              <w:wordWrap/>
              <w:overflowPunct/>
              <w:topLinePunct w:val="0"/>
              <w:autoSpaceDE/>
              <w:autoSpaceDN/>
              <w:bidi w:val="0"/>
              <w:spacing w:after="0" w:line="300" w:lineRule="exact"/>
              <w:ind w:left="0"/>
              <w:jc w:val="left"/>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3.研发经费支出占G</w:t>
            </w:r>
            <w:r>
              <w:rPr>
                <w:rFonts w:ascii="宋体" w:hAnsi="宋体" w:cs="宋体"/>
                <w:color w:val="000000" w:themeColor="text1"/>
                <w:szCs w:val="21"/>
                <w14:textFill>
                  <w14:solidFill>
                    <w14:schemeClr w14:val="tx1"/>
                  </w14:solidFill>
                </w14:textFill>
              </w:rPr>
              <w:t>DP</w:t>
            </w:r>
            <w:r>
              <w:rPr>
                <w:rFonts w:hint="eastAsia" w:ascii="宋体" w:hAnsi="宋体" w:cs="宋体"/>
                <w:color w:val="000000" w:themeColor="text1"/>
                <w:szCs w:val="21"/>
                <w14:textFill>
                  <w14:solidFill>
                    <w14:schemeClr w14:val="tx1"/>
                  </w14:solidFill>
                </w14:textFill>
              </w:rPr>
              <w:t>比重（%）</w:t>
            </w:r>
          </w:p>
        </w:tc>
        <w:tc>
          <w:tcPr>
            <w:tcW w:w="1228" w:type="dxa"/>
            <w:tcBorders>
              <w:top w:val="single" w:color="auto" w:sz="4" w:space="0"/>
              <w:left w:val="single" w:color="auto" w:sz="4" w:space="0"/>
              <w:bottom w:val="single" w:color="auto" w:sz="4" w:space="0"/>
              <w:right w:val="single" w:color="auto" w:sz="4" w:space="0"/>
            </w:tcBorders>
            <w:vAlign w:val="center"/>
          </w:tcPr>
          <w:p w14:paraId="1777A098">
            <w:pPr>
              <w:pStyle w:val="10"/>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cs="宋体"/>
                <w:color w:val="000000" w:themeColor="text1"/>
                <w:szCs w:val="21"/>
                <w14:textFill>
                  <w14:solidFill>
                    <w14:schemeClr w14:val="tx1"/>
                  </w14:solidFill>
                </w14:textFill>
              </w:rPr>
            </w:pPr>
            <w:r>
              <w:rPr>
                <w:rFonts w:ascii="宋体" w:eastAsia="宋体" w:cs="宋体"/>
                <w:color w:val="000000" w:themeColor="text1"/>
                <w:szCs w:val="21"/>
                <w14:textFill>
                  <w14:solidFill>
                    <w14:schemeClr w14:val="tx1"/>
                  </w14:solidFill>
                </w14:textFill>
              </w:rPr>
              <w:t>1.30</w:t>
            </w:r>
          </w:p>
        </w:tc>
        <w:tc>
          <w:tcPr>
            <w:tcW w:w="1229" w:type="dxa"/>
            <w:tcBorders>
              <w:top w:val="single" w:color="auto" w:sz="4" w:space="0"/>
              <w:left w:val="single" w:color="auto" w:sz="4" w:space="0"/>
              <w:bottom w:val="single" w:color="auto" w:sz="4" w:space="0"/>
              <w:right w:val="single" w:color="auto" w:sz="4" w:space="0"/>
            </w:tcBorders>
            <w:vAlign w:val="center"/>
          </w:tcPr>
          <w:p w14:paraId="77946AE1">
            <w:pPr>
              <w:pStyle w:val="10"/>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cs="宋体"/>
                <w:color w:val="000000" w:themeColor="text1"/>
                <w:szCs w:val="21"/>
                <w14:textFill>
                  <w14:solidFill>
                    <w14:schemeClr w14:val="tx1"/>
                  </w14:solidFill>
                </w14:textFill>
              </w:rPr>
            </w:pPr>
            <w:r>
              <w:rPr>
                <w:rFonts w:hint="eastAsia" w:ascii="宋体" w:eastAsia="宋体" w:cs="宋体"/>
                <w:color w:val="000000" w:themeColor="text1"/>
                <w:szCs w:val="21"/>
                <w14:textFill>
                  <w14:solidFill>
                    <w14:schemeClr w14:val="tx1"/>
                  </w14:solidFill>
                </w14:textFill>
              </w:rPr>
              <w:t>2</w:t>
            </w:r>
          </w:p>
        </w:tc>
        <w:tc>
          <w:tcPr>
            <w:tcW w:w="1229" w:type="dxa"/>
            <w:tcBorders>
              <w:top w:val="single" w:color="auto" w:sz="4" w:space="0"/>
              <w:left w:val="single" w:color="auto" w:sz="4" w:space="0"/>
              <w:bottom w:val="single" w:color="auto" w:sz="4" w:space="0"/>
              <w:right w:val="single" w:color="auto" w:sz="4" w:space="0"/>
            </w:tcBorders>
            <w:vAlign w:val="center"/>
          </w:tcPr>
          <w:p w14:paraId="2C8878DB">
            <w:pPr>
              <w:pStyle w:val="10"/>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cs="宋体"/>
                <w:color w:val="000000" w:themeColor="text1"/>
                <w:szCs w:val="21"/>
                <w14:textFill>
                  <w14:solidFill>
                    <w14:schemeClr w14:val="tx1"/>
                  </w14:solidFill>
                </w14:textFill>
              </w:rPr>
            </w:pPr>
            <w:r>
              <w:rPr>
                <w:rFonts w:ascii="宋体" w:eastAsia="宋体" w:cs="宋体"/>
                <w:color w:val="000000" w:themeColor="text1"/>
                <w:szCs w:val="21"/>
                <w14:textFill>
                  <w14:solidFill>
                    <w14:schemeClr w14:val="tx1"/>
                  </w14:solidFill>
                </w14:textFill>
              </w:rPr>
              <w:t>[</w:t>
            </w:r>
            <w:r>
              <w:rPr>
                <w:rFonts w:hint="eastAsia" w:ascii="宋体" w:eastAsia="宋体" w:cs="宋体"/>
                <w:color w:val="000000" w:themeColor="text1"/>
                <w:szCs w:val="21"/>
                <w14:textFill>
                  <w14:solidFill>
                    <w14:schemeClr w14:val="tx1"/>
                  </w14:solidFill>
                </w14:textFill>
              </w:rPr>
              <w:t>0</w:t>
            </w:r>
            <w:r>
              <w:rPr>
                <w:rFonts w:ascii="宋体" w:eastAsia="宋体" w:cs="宋体"/>
                <w:color w:val="000000" w:themeColor="text1"/>
                <w:szCs w:val="21"/>
                <w14:textFill>
                  <w14:solidFill>
                    <w14:schemeClr w14:val="tx1"/>
                  </w14:solidFill>
                </w14:textFill>
              </w:rPr>
              <w:t>.70]</w:t>
            </w:r>
          </w:p>
        </w:tc>
      </w:tr>
      <w:tr w14:paraId="7ACCB367">
        <w:tblPrEx>
          <w:tblCellMar>
            <w:top w:w="0" w:type="dxa"/>
            <w:left w:w="108" w:type="dxa"/>
            <w:bottom w:w="0" w:type="dxa"/>
            <w:right w:w="108" w:type="dxa"/>
          </w:tblCellMar>
        </w:tblPrEx>
        <w:trPr>
          <w:trHeight w:val="322" w:hRule="atLeast"/>
          <w:jc w:val="center"/>
        </w:trPr>
        <w:tc>
          <w:tcPr>
            <w:tcW w:w="817" w:type="dxa"/>
            <w:vMerge w:val="continue"/>
            <w:tcBorders>
              <w:left w:val="single" w:color="auto" w:sz="4" w:space="0"/>
              <w:right w:val="single" w:color="auto" w:sz="4" w:space="0"/>
            </w:tcBorders>
            <w:vAlign w:val="center"/>
          </w:tcPr>
          <w:p w14:paraId="3F2CE93D">
            <w:pPr>
              <w:pStyle w:val="10"/>
              <w:keepNext w:val="0"/>
              <w:keepLines w:val="0"/>
              <w:pageBreakBefore w:val="0"/>
              <w:widowControl w:val="0"/>
              <w:kinsoku/>
              <w:wordWrap/>
              <w:overflowPunct/>
              <w:topLinePunct w:val="0"/>
              <w:autoSpaceDE/>
              <w:autoSpaceDN/>
              <w:bidi w:val="0"/>
              <w:spacing w:line="300" w:lineRule="exact"/>
              <w:ind w:firstLine="420"/>
              <w:jc w:val="center"/>
              <w:textAlignment w:val="auto"/>
              <w:rPr>
                <w:rFonts w:ascii="宋体" w:eastAsia="宋体" w:cs="宋体"/>
                <w:color w:val="000000" w:themeColor="text1"/>
                <w:szCs w:val="21"/>
                <w14:textFill>
                  <w14:solidFill>
                    <w14:schemeClr w14:val="tx1"/>
                  </w14:solidFill>
                </w14:textFill>
              </w:rPr>
            </w:pPr>
          </w:p>
        </w:tc>
        <w:tc>
          <w:tcPr>
            <w:tcW w:w="4394" w:type="dxa"/>
            <w:tcBorders>
              <w:top w:val="single" w:color="auto" w:sz="4" w:space="0"/>
              <w:left w:val="single" w:color="auto" w:sz="4" w:space="0"/>
              <w:bottom w:val="single" w:color="auto" w:sz="4" w:space="0"/>
              <w:right w:val="single" w:color="auto" w:sz="4" w:space="0"/>
            </w:tcBorders>
            <w:vAlign w:val="center"/>
          </w:tcPr>
          <w:p w14:paraId="2C0C0C7D">
            <w:pPr>
              <w:pStyle w:val="3"/>
              <w:keepNext w:val="0"/>
              <w:keepLines w:val="0"/>
              <w:pageBreakBefore w:val="0"/>
              <w:widowControl w:val="0"/>
              <w:kinsoku/>
              <w:wordWrap/>
              <w:overflowPunct/>
              <w:topLinePunct w:val="0"/>
              <w:autoSpaceDE/>
              <w:autoSpaceDN/>
              <w:bidi w:val="0"/>
              <w:spacing w:after="0" w:line="300" w:lineRule="exact"/>
              <w:ind w:left="0"/>
              <w:jc w:val="left"/>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4.每万人口拥有高价值发明专利拥有数（件）</w:t>
            </w:r>
          </w:p>
        </w:tc>
        <w:tc>
          <w:tcPr>
            <w:tcW w:w="1228" w:type="dxa"/>
            <w:tcBorders>
              <w:top w:val="single" w:color="auto" w:sz="4" w:space="0"/>
              <w:left w:val="single" w:color="auto" w:sz="4" w:space="0"/>
              <w:bottom w:val="single" w:color="auto" w:sz="4" w:space="0"/>
              <w:right w:val="single" w:color="auto" w:sz="4" w:space="0"/>
            </w:tcBorders>
            <w:vAlign w:val="center"/>
          </w:tcPr>
          <w:p w14:paraId="6CE8EFB8">
            <w:pPr>
              <w:pStyle w:val="10"/>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cs="宋体"/>
                <w:color w:val="000000" w:themeColor="text1"/>
                <w:szCs w:val="21"/>
                <w14:textFill>
                  <w14:solidFill>
                    <w14:schemeClr w14:val="tx1"/>
                  </w14:solidFill>
                </w14:textFill>
              </w:rPr>
            </w:pPr>
            <w:r>
              <w:rPr>
                <w:rFonts w:hint="eastAsia" w:ascii="宋体" w:eastAsia="宋体" w:cs="宋体"/>
                <w:color w:val="000000" w:themeColor="text1"/>
                <w:szCs w:val="21"/>
                <w14:textFill>
                  <w14:solidFill>
                    <w14:schemeClr w14:val="tx1"/>
                  </w14:solidFill>
                </w14:textFill>
              </w:rPr>
              <w:t>1</w:t>
            </w:r>
            <w:r>
              <w:rPr>
                <w:rFonts w:ascii="宋体" w:eastAsia="宋体" w:cs="宋体"/>
                <w:color w:val="000000" w:themeColor="text1"/>
                <w:szCs w:val="21"/>
                <w14:textFill>
                  <w14:solidFill>
                    <w14:schemeClr w14:val="tx1"/>
                  </w14:solidFill>
                </w14:textFill>
              </w:rPr>
              <w:t>.89</w:t>
            </w:r>
          </w:p>
        </w:tc>
        <w:tc>
          <w:tcPr>
            <w:tcW w:w="1229" w:type="dxa"/>
            <w:tcBorders>
              <w:top w:val="single" w:color="auto" w:sz="4" w:space="0"/>
              <w:left w:val="single" w:color="auto" w:sz="4" w:space="0"/>
              <w:bottom w:val="single" w:color="auto" w:sz="4" w:space="0"/>
              <w:right w:val="single" w:color="auto" w:sz="4" w:space="0"/>
            </w:tcBorders>
            <w:vAlign w:val="center"/>
          </w:tcPr>
          <w:p w14:paraId="7E80BFAD">
            <w:pPr>
              <w:pStyle w:val="10"/>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cs="宋体"/>
                <w:color w:val="000000" w:themeColor="text1"/>
                <w:szCs w:val="21"/>
                <w14:textFill>
                  <w14:solidFill>
                    <w14:schemeClr w14:val="tx1"/>
                  </w14:solidFill>
                </w14:textFill>
              </w:rPr>
            </w:pPr>
            <w:r>
              <w:rPr>
                <w:rFonts w:ascii="宋体" w:eastAsia="宋体" w:cs="宋体"/>
                <w:color w:val="000000" w:themeColor="text1"/>
                <w:szCs w:val="21"/>
                <w14:textFill>
                  <w14:solidFill>
                    <w14:schemeClr w14:val="tx1"/>
                  </w14:solidFill>
                </w14:textFill>
              </w:rPr>
              <w:t>2.50</w:t>
            </w:r>
          </w:p>
        </w:tc>
        <w:tc>
          <w:tcPr>
            <w:tcW w:w="1229" w:type="dxa"/>
            <w:tcBorders>
              <w:top w:val="single" w:color="auto" w:sz="4" w:space="0"/>
              <w:left w:val="single" w:color="auto" w:sz="4" w:space="0"/>
              <w:bottom w:val="single" w:color="auto" w:sz="4" w:space="0"/>
              <w:right w:val="single" w:color="auto" w:sz="4" w:space="0"/>
            </w:tcBorders>
            <w:vAlign w:val="center"/>
          </w:tcPr>
          <w:p w14:paraId="5398127C">
            <w:pPr>
              <w:pStyle w:val="10"/>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cs="宋体"/>
                <w:color w:val="000000" w:themeColor="text1"/>
                <w:szCs w:val="21"/>
                <w14:textFill>
                  <w14:solidFill>
                    <w14:schemeClr w14:val="tx1"/>
                  </w14:solidFill>
                </w14:textFill>
              </w:rPr>
            </w:pPr>
            <w:r>
              <w:rPr>
                <w:rFonts w:ascii="宋体" w:eastAsia="宋体" w:cs="宋体"/>
                <w:color w:val="000000" w:themeColor="text1"/>
                <w:szCs w:val="21"/>
                <w14:textFill>
                  <w14:solidFill>
                    <w14:schemeClr w14:val="tx1"/>
                  </w14:solidFill>
                </w14:textFill>
              </w:rPr>
              <w:t>[</w:t>
            </w:r>
            <w:r>
              <w:rPr>
                <w:rFonts w:hint="eastAsia" w:ascii="宋体" w:eastAsia="宋体" w:cs="宋体"/>
                <w:color w:val="000000" w:themeColor="text1"/>
                <w:szCs w:val="21"/>
                <w:lang w:val="en-US" w:eastAsia="zh-CN"/>
                <w14:textFill>
                  <w14:solidFill>
                    <w14:schemeClr w14:val="tx1"/>
                  </w14:solidFill>
                </w14:textFill>
              </w:rPr>
              <w:t>0.61</w:t>
            </w:r>
            <w:r>
              <w:rPr>
                <w:rFonts w:ascii="宋体" w:eastAsia="宋体" w:cs="宋体"/>
                <w:color w:val="000000" w:themeColor="text1"/>
                <w:szCs w:val="21"/>
                <w14:textFill>
                  <w14:solidFill>
                    <w14:schemeClr w14:val="tx1"/>
                  </w14:solidFill>
                </w14:textFill>
              </w:rPr>
              <w:t>]</w:t>
            </w:r>
          </w:p>
        </w:tc>
      </w:tr>
      <w:tr w14:paraId="6225B86F">
        <w:tblPrEx>
          <w:tblCellMar>
            <w:top w:w="0" w:type="dxa"/>
            <w:left w:w="108" w:type="dxa"/>
            <w:bottom w:w="0" w:type="dxa"/>
            <w:right w:w="108" w:type="dxa"/>
          </w:tblCellMar>
        </w:tblPrEx>
        <w:trPr>
          <w:trHeight w:val="322" w:hRule="atLeast"/>
          <w:jc w:val="center"/>
        </w:trPr>
        <w:tc>
          <w:tcPr>
            <w:tcW w:w="817" w:type="dxa"/>
            <w:vMerge w:val="continue"/>
            <w:tcBorders>
              <w:left w:val="single" w:color="auto" w:sz="4" w:space="0"/>
              <w:right w:val="single" w:color="auto" w:sz="4" w:space="0"/>
            </w:tcBorders>
            <w:vAlign w:val="center"/>
          </w:tcPr>
          <w:p w14:paraId="7FB071A5">
            <w:pPr>
              <w:pStyle w:val="10"/>
              <w:keepNext w:val="0"/>
              <w:keepLines w:val="0"/>
              <w:pageBreakBefore w:val="0"/>
              <w:widowControl w:val="0"/>
              <w:kinsoku/>
              <w:wordWrap/>
              <w:overflowPunct/>
              <w:topLinePunct w:val="0"/>
              <w:autoSpaceDE/>
              <w:autoSpaceDN/>
              <w:bidi w:val="0"/>
              <w:spacing w:line="300" w:lineRule="exact"/>
              <w:ind w:firstLine="420"/>
              <w:jc w:val="center"/>
              <w:textAlignment w:val="auto"/>
              <w:rPr>
                <w:rFonts w:ascii="宋体" w:eastAsia="宋体" w:cs="宋体"/>
                <w:color w:val="000000" w:themeColor="text1"/>
                <w:szCs w:val="21"/>
                <w14:textFill>
                  <w14:solidFill>
                    <w14:schemeClr w14:val="tx1"/>
                  </w14:solidFill>
                </w14:textFill>
              </w:rPr>
            </w:pPr>
          </w:p>
        </w:tc>
        <w:tc>
          <w:tcPr>
            <w:tcW w:w="4394" w:type="dxa"/>
            <w:tcBorders>
              <w:top w:val="single" w:color="auto" w:sz="4" w:space="0"/>
              <w:left w:val="single" w:color="auto" w:sz="4" w:space="0"/>
              <w:bottom w:val="single" w:color="auto" w:sz="4" w:space="0"/>
              <w:right w:val="single" w:color="auto" w:sz="4" w:space="0"/>
            </w:tcBorders>
            <w:vAlign w:val="center"/>
          </w:tcPr>
          <w:p w14:paraId="2B5CF6B3">
            <w:pPr>
              <w:pStyle w:val="3"/>
              <w:keepNext w:val="0"/>
              <w:keepLines w:val="0"/>
              <w:pageBreakBefore w:val="0"/>
              <w:widowControl w:val="0"/>
              <w:kinsoku/>
              <w:wordWrap/>
              <w:overflowPunct/>
              <w:topLinePunct w:val="0"/>
              <w:autoSpaceDE/>
              <w:autoSpaceDN/>
              <w:bidi w:val="0"/>
              <w:spacing w:after="0" w:line="300" w:lineRule="exact"/>
              <w:ind w:left="0"/>
              <w:jc w:val="left"/>
              <w:textAlignment w:val="auto"/>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.规上高新技术产业增加值占规上工业增加值比重（%）</w:t>
            </w:r>
          </w:p>
        </w:tc>
        <w:tc>
          <w:tcPr>
            <w:tcW w:w="1228" w:type="dxa"/>
            <w:tcBorders>
              <w:top w:val="single" w:color="auto" w:sz="4" w:space="0"/>
              <w:left w:val="single" w:color="auto" w:sz="4" w:space="0"/>
              <w:bottom w:val="single" w:color="auto" w:sz="4" w:space="0"/>
              <w:right w:val="single" w:color="auto" w:sz="4" w:space="0"/>
            </w:tcBorders>
            <w:vAlign w:val="center"/>
          </w:tcPr>
          <w:p w14:paraId="005EDB0E">
            <w:pPr>
              <w:pStyle w:val="10"/>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cs="宋体"/>
                <w:color w:val="000000" w:themeColor="text1"/>
                <w:szCs w:val="21"/>
                <w14:textFill>
                  <w14:solidFill>
                    <w14:schemeClr w14:val="tx1"/>
                  </w14:solidFill>
                </w14:textFill>
              </w:rPr>
            </w:pPr>
            <w:r>
              <w:rPr>
                <w:rFonts w:hint="eastAsia" w:ascii="宋体" w:eastAsia="宋体" w:cs="宋体"/>
                <w:color w:val="000000" w:themeColor="text1"/>
                <w:szCs w:val="21"/>
                <w14:textFill>
                  <w14:solidFill>
                    <w14:schemeClr w14:val="tx1"/>
                  </w14:solidFill>
                </w14:textFill>
              </w:rPr>
              <w:t>-</w:t>
            </w:r>
            <w:r>
              <w:rPr>
                <w:rFonts w:ascii="宋体" w:eastAsia="宋体" w:cs="宋体"/>
                <w:color w:val="000000" w:themeColor="text1"/>
                <w:szCs w:val="21"/>
                <w14:textFill>
                  <w14:solidFill>
                    <w14:schemeClr w14:val="tx1"/>
                  </w14:solidFill>
                </w14:textFill>
              </w:rPr>
              <w:t>-</w:t>
            </w:r>
          </w:p>
        </w:tc>
        <w:tc>
          <w:tcPr>
            <w:tcW w:w="1229" w:type="dxa"/>
            <w:tcBorders>
              <w:top w:val="single" w:color="auto" w:sz="4" w:space="0"/>
              <w:left w:val="single" w:color="auto" w:sz="4" w:space="0"/>
              <w:bottom w:val="single" w:color="auto" w:sz="4" w:space="0"/>
              <w:right w:val="single" w:color="auto" w:sz="4" w:space="0"/>
            </w:tcBorders>
            <w:vAlign w:val="center"/>
          </w:tcPr>
          <w:p w14:paraId="6757A769">
            <w:pPr>
              <w:pStyle w:val="10"/>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cs="宋体"/>
                <w:color w:val="000000" w:themeColor="text1"/>
                <w:szCs w:val="21"/>
                <w14:textFill>
                  <w14:solidFill>
                    <w14:schemeClr w14:val="tx1"/>
                  </w14:solidFill>
                </w14:textFill>
              </w:rPr>
            </w:pPr>
            <w:r>
              <w:rPr>
                <w:rFonts w:hint="eastAsia" w:ascii="宋体" w:eastAsia="宋体" w:cs="宋体"/>
                <w:color w:val="000000" w:themeColor="text1"/>
                <w:szCs w:val="21"/>
                <w14:textFill>
                  <w14:solidFill>
                    <w14:schemeClr w14:val="tx1"/>
                  </w14:solidFill>
                </w14:textFill>
              </w:rPr>
              <w:t>3</w:t>
            </w:r>
            <w:r>
              <w:rPr>
                <w:rFonts w:ascii="宋体" w:eastAsia="宋体" w:cs="宋体"/>
                <w:color w:val="000000" w:themeColor="text1"/>
                <w:szCs w:val="21"/>
                <w14:textFill>
                  <w14:solidFill>
                    <w14:schemeClr w14:val="tx1"/>
                  </w14:solidFill>
                </w14:textFill>
              </w:rPr>
              <w:t>0</w:t>
            </w:r>
            <w:r>
              <w:rPr>
                <w:rFonts w:hint="eastAsia" w:ascii="宋体" w:eastAsia="宋体" w:cs="宋体"/>
                <w:color w:val="000000" w:themeColor="text1"/>
                <w:szCs w:val="21"/>
                <w14:textFill>
                  <w14:solidFill>
                    <w14:schemeClr w14:val="tx1"/>
                  </w14:solidFill>
                </w14:textFill>
              </w:rPr>
              <w:t>以上</w:t>
            </w:r>
          </w:p>
        </w:tc>
        <w:tc>
          <w:tcPr>
            <w:tcW w:w="1229" w:type="dxa"/>
            <w:tcBorders>
              <w:top w:val="single" w:color="auto" w:sz="4" w:space="0"/>
              <w:left w:val="single" w:color="auto" w:sz="4" w:space="0"/>
              <w:bottom w:val="single" w:color="auto" w:sz="4" w:space="0"/>
              <w:right w:val="single" w:color="auto" w:sz="4" w:space="0"/>
            </w:tcBorders>
            <w:vAlign w:val="center"/>
          </w:tcPr>
          <w:p w14:paraId="23858305">
            <w:pPr>
              <w:pStyle w:val="10"/>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cs="宋体"/>
                <w:color w:val="000000" w:themeColor="text1"/>
                <w:szCs w:val="21"/>
                <w14:textFill>
                  <w14:solidFill>
                    <w14:schemeClr w14:val="tx1"/>
                  </w14:solidFill>
                </w14:textFill>
              </w:rPr>
            </w:pPr>
            <w:r>
              <w:rPr>
                <w:rFonts w:hint="eastAsia" w:ascii="宋体" w:eastAsia="宋体" w:cs="宋体"/>
                <w:color w:val="000000" w:themeColor="text1"/>
                <w:szCs w:val="21"/>
                <w14:textFill>
                  <w14:solidFill>
                    <w14:schemeClr w14:val="tx1"/>
                  </w14:solidFill>
                </w14:textFill>
              </w:rPr>
              <w:t>--</w:t>
            </w:r>
          </w:p>
        </w:tc>
      </w:tr>
      <w:tr w14:paraId="56B04209">
        <w:tblPrEx>
          <w:tblCellMar>
            <w:top w:w="0" w:type="dxa"/>
            <w:left w:w="108" w:type="dxa"/>
            <w:bottom w:w="0" w:type="dxa"/>
            <w:right w:w="108" w:type="dxa"/>
          </w:tblCellMar>
        </w:tblPrEx>
        <w:trPr>
          <w:trHeight w:val="228" w:hRule="atLeast"/>
          <w:jc w:val="center"/>
        </w:trPr>
        <w:tc>
          <w:tcPr>
            <w:tcW w:w="817" w:type="dxa"/>
            <w:vMerge w:val="restart"/>
            <w:tcBorders>
              <w:top w:val="single" w:color="auto" w:sz="4" w:space="0"/>
              <w:left w:val="single" w:color="auto" w:sz="4" w:space="0"/>
              <w:bottom w:val="single" w:color="auto" w:sz="4" w:space="0"/>
              <w:right w:val="single" w:color="auto" w:sz="4" w:space="0"/>
            </w:tcBorders>
            <w:vAlign w:val="center"/>
          </w:tcPr>
          <w:p w14:paraId="182F5C11">
            <w:pPr>
              <w:pStyle w:val="10"/>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cs="宋体"/>
                <w:color w:val="000000" w:themeColor="text1"/>
                <w:szCs w:val="21"/>
                <w14:textFill>
                  <w14:solidFill>
                    <w14:schemeClr w14:val="tx1"/>
                  </w14:solidFill>
                </w14:textFill>
              </w:rPr>
            </w:pPr>
            <w:r>
              <w:rPr>
                <w:rFonts w:hint="eastAsia" w:ascii="宋体" w:eastAsia="宋体" w:cs="宋体"/>
                <w:color w:val="000000" w:themeColor="text1"/>
                <w:szCs w:val="21"/>
                <w14:textFill>
                  <w14:solidFill>
                    <w14:schemeClr w14:val="tx1"/>
                  </w14:solidFill>
                </w14:textFill>
              </w:rPr>
              <w:t>民生</w:t>
            </w:r>
          </w:p>
          <w:p w14:paraId="7A2B1F78">
            <w:pPr>
              <w:pStyle w:val="10"/>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cs="宋体"/>
                <w:color w:val="000000" w:themeColor="text1"/>
                <w:szCs w:val="21"/>
                <w14:textFill>
                  <w14:solidFill>
                    <w14:schemeClr w14:val="tx1"/>
                  </w14:solidFill>
                </w14:textFill>
              </w:rPr>
            </w:pPr>
            <w:r>
              <w:rPr>
                <w:rFonts w:hint="eastAsia" w:ascii="宋体" w:eastAsia="宋体" w:cs="宋体"/>
                <w:color w:val="000000" w:themeColor="text1"/>
                <w:szCs w:val="21"/>
                <w14:textFill>
                  <w14:solidFill>
                    <w14:schemeClr w14:val="tx1"/>
                  </w14:solidFill>
                </w14:textFill>
              </w:rPr>
              <w:t>福祉</w:t>
            </w:r>
          </w:p>
        </w:tc>
        <w:tc>
          <w:tcPr>
            <w:tcW w:w="4394" w:type="dxa"/>
            <w:tcBorders>
              <w:top w:val="single" w:color="auto" w:sz="4" w:space="0"/>
              <w:left w:val="single" w:color="auto" w:sz="4" w:space="0"/>
              <w:bottom w:val="single" w:color="auto" w:sz="4" w:space="0"/>
              <w:right w:val="single" w:color="auto" w:sz="4" w:space="0"/>
            </w:tcBorders>
            <w:vAlign w:val="center"/>
          </w:tcPr>
          <w:p w14:paraId="1626B674">
            <w:pPr>
              <w:pStyle w:val="3"/>
              <w:keepNext w:val="0"/>
              <w:keepLines w:val="0"/>
              <w:pageBreakBefore w:val="0"/>
              <w:widowControl w:val="0"/>
              <w:kinsoku/>
              <w:wordWrap/>
              <w:overflowPunct/>
              <w:topLinePunct w:val="0"/>
              <w:autoSpaceDE/>
              <w:autoSpaceDN/>
              <w:bidi w:val="0"/>
              <w:spacing w:after="0" w:line="300" w:lineRule="exact"/>
              <w:ind w:left="0"/>
              <w:jc w:val="left"/>
              <w:textAlignment w:val="auto"/>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.城镇居民人均可支配收入增长率（%）</w:t>
            </w:r>
          </w:p>
        </w:tc>
        <w:tc>
          <w:tcPr>
            <w:tcW w:w="1228" w:type="dxa"/>
            <w:tcBorders>
              <w:top w:val="single" w:color="auto" w:sz="4" w:space="0"/>
              <w:left w:val="single" w:color="auto" w:sz="4" w:space="0"/>
              <w:bottom w:val="single" w:color="auto" w:sz="4" w:space="0"/>
              <w:right w:val="single" w:color="auto" w:sz="4" w:space="0"/>
            </w:tcBorders>
            <w:vAlign w:val="center"/>
          </w:tcPr>
          <w:p w14:paraId="3DE0F7E3">
            <w:pPr>
              <w:pStyle w:val="10"/>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cs="宋体"/>
                <w:color w:val="000000" w:themeColor="text1"/>
                <w:szCs w:val="21"/>
                <w14:textFill>
                  <w14:solidFill>
                    <w14:schemeClr w14:val="tx1"/>
                  </w14:solidFill>
                </w14:textFill>
              </w:rPr>
            </w:pPr>
            <w:r>
              <w:rPr>
                <w:rFonts w:hint="eastAsia" w:ascii="宋体" w:eastAsia="宋体" w:cs="宋体"/>
                <w:color w:val="000000" w:themeColor="text1"/>
                <w:szCs w:val="21"/>
                <w14:textFill>
                  <w14:solidFill>
                    <w14:schemeClr w14:val="tx1"/>
                  </w14:solidFill>
                </w14:textFill>
              </w:rPr>
              <w:t>4</w:t>
            </w:r>
            <w:r>
              <w:rPr>
                <w:rFonts w:ascii="宋体" w:eastAsia="宋体" w:cs="宋体"/>
                <w:color w:val="000000" w:themeColor="text1"/>
                <w:szCs w:val="21"/>
                <w14:textFill>
                  <w14:solidFill>
                    <w14:schemeClr w14:val="tx1"/>
                  </w14:solidFill>
                </w14:textFill>
              </w:rPr>
              <w:t>.30</w:t>
            </w:r>
          </w:p>
        </w:tc>
        <w:tc>
          <w:tcPr>
            <w:tcW w:w="1229" w:type="dxa"/>
            <w:tcBorders>
              <w:top w:val="single" w:color="auto" w:sz="4" w:space="0"/>
              <w:left w:val="single" w:color="auto" w:sz="4" w:space="0"/>
              <w:bottom w:val="single" w:color="auto" w:sz="4" w:space="0"/>
              <w:right w:val="single" w:color="auto" w:sz="4" w:space="0"/>
            </w:tcBorders>
            <w:vAlign w:val="center"/>
          </w:tcPr>
          <w:p w14:paraId="0C0E2488">
            <w:pPr>
              <w:pStyle w:val="10"/>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cs="宋体"/>
                <w:color w:val="000000" w:themeColor="text1"/>
                <w:szCs w:val="21"/>
                <w14:textFill>
                  <w14:solidFill>
                    <w14:schemeClr w14:val="tx1"/>
                  </w14:solidFill>
                </w14:textFill>
              </w:rPr>
            </w:pPr>
            <w:r>
              <w:rPr>
                <w:rFonts w:ascii="宋体" w:eastAsia="宋体" w:cs="宋体"/>
                <w:color w:val="000000" w:themeColor="text1"/>
                <w:szCs w:val="21"/>
                <w14:textFill>
                  <w14:solidFill>
                    <w14:schemeClr w14:val="tx1"/>
                  </w14:solidFill>
                </w14:textFill>
              </w:rPr>
              <w:t>6.50</w:t>
            </w:r>
          </w:p>
        </w:tc>
        <w:tc>
          <w:tcPr>
            <w:tcW w:w="1229" w:type="dxa"/>
            <w:tcBorders>
              <w:top w:val="single" w:color="auto" w:sz="4" w:space="0"/>
              <w:left w:val="single" w:color="auto" w:sz="4" w:space="0"/>
              <w:bottom w:val="single" w:color="auto" w:sz="4" w:space="0"/>
              <w:right w:val="single" w:color="auto" w:sz="4" w:space="0"/>
            </w:tcBorders>
            <w:vAlign w:val="center"/>
          </w:tcPr>
          <w:p w14:paraId="1E0763E3">
            <w:pPr>
              <w:pStyle w:val="10"/>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cs="宋体"/>
                <w:color w:val="000000" w:themeColor="text1"/>
                <w:szCs w:val="21"/>
                <w14:textFill>
                  <w14:solidFill>
                    <w14:schemeClr w14:val="tx1"/>
                  </w14:solidFill>
                </w14:textFill>
              </w:rPr>
            </w:pPr>
            <w:r>
              <w:rPr>
                <w:rFonts w:ascii="宋体" w:eastAsia="宋体" w:cs="宋体"/>
                <w:color w:val="000000" w:themeColor="text1"/>
                <w:szCs w:val="21"/>
                <w14:textFill>
                  <w14:solidFill>
                    <w14:schemeClr w14:val="tx1"/>
                  </w14:solidFill>
                </w14:textFill>
              </w:rPr>
              <w:t>6.50</w:t>
            </w:r>
          </w:p>
        </w:tc>
      </w:tr>
      <w:tr w14:paraId="2618E00F">
        <w:tblPrEx>
          <w:tblCellMar>
            <w:top w:w="0" w:type="dxa"/>
            <w:left w:w="108" w:type="dxa"/>
            <w:bottom w:w="0" w:type="dxa"/>
            <w:right w:w="108" w:type="dxa"/>
          </w:tblCellMar>
        </w:tblPrEx>
        <w:trPr>
          <w:trHeight w:val="228" w:hRule="atLeast"/>
          <w:jc w:val="center"/>
        </w:trPr>
        <w:tc>
          <w:tcPr>
            <w:tcW w:w="817" w:type="dxa"/>
            <w:vMerge w:val="continue"/>
            <w:tcBorders>
              <w:left w:val="single" w:color="auto" w:sz="4" w:space="0"/>
              <w:right w:val="single" w:color="auto" w:sz="4" w:space="0"/>
            </w:tcBorders>
            <w:vAlign w:val="center"/>
          </w:tcPr>
          <w:p w14:paraId="304FCCB8">
            <w:pPr>
              <w:pStyle w:val="10"/>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cs="宋体"/>
                <w:color w:val="000000" w:themeColor="text1"/>
                <w:szCs w:val="21"/>
                <w14:textFill>
                  <w14:solidFill>
                    <w14:schemeClr w14:val="tx1"/>
                  </w14:solidFill>
                </w14:textFill>
              </w:rPr>
            </w:pPr>
          </w:p>
        </w:tc>
        <w:tc>
          <w:tcPr>
            <w:tcW w:w="4394" w:type="dxa"/>
            <w:tcBorders>
              <w:top w:val="single" w:color="auto" w:sz="4" w:space="0"/>
              <w:left w:val="single" w:color="auto" w:sz="4" w:space="0"/>
              <w:bottom w:val="single" w:color="auto" w:sz="4" w:space="0"/>
              <w:right w:val="single" w:color="auto" w:sz="4" w:space="0"/>
            </w:tcBorders>
            <w:vAlign w:val="center"/>
          </w:tcPr>
          <w:p w14:paraId="04E77BBA">
            <w:pPr>
              <w:pStyle w:val="3"/>
              <w:keepNext w:val="0"/>
              <w:keepLines w:val="0"/>
              <w:pageBreakBefore w:val="0"/>
              <w:widowControl w:val="0"/>
              <w:kinsoku/>
              <w:wordWrap/>
              <w:overflowPunct/>
              <w:topLinePunct w:val="0"/>
              <w:autoSpaceDE/>
              <w:autoSpaceDN/>
              <w:bidi w:val="0"/>
              <w:spacing w:after="0" w:line="300" w:lineRule="exact"/>
              <w:ind w:left="0"/>
              <w:jc w:val="left"/>
              <w:textAlignment w:val="auto"/>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7</w:t>
            </w:r>
            <w:r>
              <w:rPr>
                <w:rFonts w:hint="eastAsia" w:ascii="宋体" w:hAnsi="宋体" w:cs="宋体"/>
                <w:color w:val="000000" w:themeColor="text1"/>
                <w:szCs w:val="21"/>
                <w14:textFill>
                  <w14:solidFill>
                    <w14:schemeClr w14:val="tx1"/>
                  </w14:solidFill>
                </w14:textFill>
              </w:rPr>
              <w:t>.农村居民人均可支配收入增长率（%）</w:t>
            </w:r>
          </w:p>
        </w:tc>
        <w:tc>
          <w:tcPr>
            <w:tcW w:w="1228" w:type="dxa"/>
            <w:tcBorders>
              <w:top w:val="single" w:color="auto" w:sz="4" w:space="0"/>
              <w:left w:val="single" w:color="auto" w:sz="4" w:space="0"/>
              <w:bottom w:val="single" w:color="auto" w:sz="4" w:space="0"/>
              <w:right w:val="single" w:color="auto" w:sz="4" w:space="0"/>
            </w:tcBorders>
            <w:vAlign w:val="center"/>
          </w:tcPr>
          <w:p w14:paraId="58B2F8F1">
            <w:pPr>
              <w:pStyle w:val="10"/>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cs="宋体"/>
                <w:color w:val="000000" w:themeColor="text1"/>
                <w:szCs w:val="21"/>
                <w14:textFill>
                  <w14:solidFill>
                    <w14:schemeClr w14:val="tx1"/>
                  </w14:solidFill>
                </w14:textFill>
              </w:rPr>
            </w:pPr>
            <w:r>
              <w:rPr>
                <w:rFonts w:hint="eastAsia" w:ascii="宋体" w:eastAsia="宋体" w:cs="宋体"/>
                <w:color w:val="000000" w:themeColor="text1"/>
                <w:szCs w:val="21"/>
                <w14:textFill>
                  <w14:solidFill>
                    <w14:schemeClr w14:val="tx1"/>
                  </w14:solidFill>
                </w14:textFill>
              </w:rPr>
              <w:t>8</w:t>
            </w:r>
          </w:p>
        </w:tc>
        <w:tc>
          <w:tcPr>
            <w:tcW w:w="1229" w:type="dxa"/>
            <w:tcBorders>
              <w:top w:val="single" w:color="auto" w:sz="4" w:space="0"/>
              <w:left w:val="single" w:color="auto" w:sz="4" w:space="0"/>
              <w:bottom w:val="single" w:color="auto" w:sz="4" w:space="0"/>
              <w:right w:val="single" w:color="auto" w:sz="4" w:space="0"/>
            </w:tcBorders>
            <w:vAlign w:val="center"/>
          </w:tcPr>
          <w:p w14:paraId="3805B46C">
            <w:pPr>
              <w:pStyle w:val="10"/>
              <w:keepNext w:val="0"/>
              <w:keepLines w:val="0"/>
              <w:pageBreakBefore w:val="0"/>
              <w:widowControl w:val="0"/>
              <w:kinsoku/>
              <w:wordWrap/>
              <w:overflowPunct/>
              <w:topLinePunct w:val="0"/>
              <w:autoSpaceDE/>
              <w:autoSpaceDN/>
              <w:bidi w:val="0"/>
              <w:spacing w:line="300" w:lineRule="exact"/>
              <w:ind w:firstLine="420"/>
              <w:textAlignment w:val="auto"/>
              <w:rPr>
                <w:rFonts w:ascii="宋体" w:eastAsia="宋体" w:cs="宋体"/>
                <w:color w:val="000000" w:themeColor="text1"/>
                <w:szCs w:val="21"/>
                <w14:textFill>
                  <w14:solidFill>
                    <w14:schemeClr w14:val="tx1"/>
                  </w14:solidFill>
                </w14:textFill>
              </w:rPr>
            </w:pPr>
            <w:r>
              <w:rPr>
                <w:rFonts w:hint="eastAsia" w:ascii="宋体" w:eastAsia="宋体" w:cs="宋体"/>
                <w:color w:val="000000" w:themeColor="text1"/>
                <w:szCs w:val="21"/>
                <w14:textFill>
                  <w14:solidFill>
                    <w14:schemeClr w14:val="tx1"/>
                  </w14:solidFill>
                </w14:textFill>
              </w:rPr>
              <w:t>7</w:t>
            </w:r>
          </w:p>
        </w:tc>
        <w:tc>
          <w:tcPr>
            <w:tcW w:w="1229" w:type="dxa"/>
            <w:tcBorders>
              <w:top w:val="single" w:color="auto" w:sz="4" w:space="0"/>
              <w:left w:val="single" w:color="auto" w:sz="4" w:space="0"/>
              <w:bottom w:val="single" w:color="auto" w:sz="4" w:space="0"/>
              <w:right w:val="single" w:color="auto" w:sz="4" w:space="0"/>
            </w:tcBorders>
            <w:vAlign w:val="center"/>
          </w:tcPr>
          <w:p w14:paraId="2827279D">
            <w:pPr>
              <w:pStyle w:val="10"/>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cs="宋体"/>
                <w:color w:val="000000" w:themeColor="text1"/>
                <w:szCs w:val="21"/>
                <w14:textFill>
                  <w14:solidFill>
                    <w14:schemeClr w14:val="tx1"/>
                  </w14:solidFill>
                </w14:textFill>
              </w:rPr>
            </w:pPr>
            <w:r>
              <w:rPr>
                <w:rFonts w:ascii="宋体" w:eastAsia="宋体" w:cs="宋体"/>
                <w:color w:val="000000" w:themeColor="text1"/>
                <w:szCs w:val="21"/>
                <w14:textFill>
                  <w14:solidFill>
                    <w14:schemeClr w14:val="tx1"/>
                  </w14:solidFill>
                </w14:textFill>
              </w:rPr>
              <w:t>7</w:t>
            </w:r>
          </w:p>
        </w:tc>
      </w:tr>
      <w:tr w14:paraId="71A930B9">
        <w:tblPrEx>
          <w:tblCellMar>
            <w:top w:w="0" w:type="dxa"/>
            <w:left w:w="108" w:type="dxa"/>
            <w:bottom w:w="0" w:type="dxa"/>
            <w:right w:w="108" w:type="dxa"/>
          </w:tblCellMar>
        </w:tblPrEx>
        <w:trPr>
          <w:trHeight w:val="241" w:hRule="atLeast"/>
          <w:jc w:val="center"/>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42F5BFCB">
            <w:pPr>
              <w:pStyle w:val="10"/>
              <w:keepNext w:val="0"/>
              <w:keepLines w:val="0"/>
              <w:pageBreakBefore w:val="0"/>
              <w:widowControl w:val="0"/>
              <w:kinsoku/>
              <w:wordWrap/>
              <w:overflowPunct/>
              <w:topLinePunct w:val="0"/>
              <w:autoSpaceDE/>
              <w:autoSpaceDN/>
              <w:bidi w:val="0"/>
              <w:spacing w:line="300" w:lineRule="exact"/>
              <w:ind w:firstLine="420"/>
              <w:jc w:val="center"/>
              <w:textAlignment w:val="auto"/>
              <w:rPr>
                <w:rFonts w:ascii="宋体" w:eastAsia="宋体" w:cs="宋体"/>
                <w:color w:val="000000" w:themeColor="text1"/>
                <w:szCs w:val="21"/>
                <w14:textFill>
                  <w14:solidFill>
                    <w14:schemeClr w14:val="tx1"/>
                  </w14:solidFill>
                </w14:textFill>
              </w:rPr>
            </w:pPr>
          </w:p>
        </w:tc>
        <w:tc>
          <w:tcPr>
            <w:tcW w:w="4394" w:type="dxa"/>
            <w:tcBorders>
              <w:top w:val="single" w:color="auto" w:sz="4" w:space="0"/>
              <w:left w:val="single" w:color="auto" w:sz="4" w:space="0"/>
              <w:bottom w:val="single" w:color="auto" w:sz="4" w:space="0"/>
              <w:right w:val="single" w:color="auto" w:sz="4" w:space="0"/>
            </w:tcBorders>
            <w:vAlign w:val="center"/>
          </w:tcPr>
          <w:p w14:paraId="5744ABE1">
            <w:pPr>
              <w:pStyle w:val="3"/>
              <w:keepNext w:val="0"/>
              <w:keepLines w:val="0"/>
              <w:pageBreakBefore w:val="0"/>
              <w:widowControl w:val="0"/>
              <w:kinsoku/>
              <w:wordWrap/>
              <w:overflowPunct/>
              <w:topLinePunct w:val="0"/>
              <w:autoSpaceDE/>
              <w:autoSpaceDN/>
              <w:bidi w:val="0"/>
              <w:spacing w:after="0" w:line="300" w:lineRule="exact"/>
              <w:ind w:left="0"/>
              <w:jc w:val="left"/>
              <w:textAlignment w:val="auto"/>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8</w:t>
            </w:r>
            <w:r>
              <w:rPr>
                <w:rFonts w:hint="eastAsia" w:ascii="宋体" w:hAnsi="宋体" w:cs="宋体"/>
                <w:color w:val="000000" w:themeColor="text1"/>
                <w:szCs w:val="21"/>
                <w14:textFill>
                  <w14:solidFill>
                    <w14:schemeClr w14:val="tx1"/>
                  </w14:solidFill>
                </w14:textFill>
              </w:rPr>
              <w:t>.城镇调查失业率（%）</w:t>
            </w:r>
          </w:p>
        </w:tc>
        <w:tc>
          <w:tcPr>
            <w:tcW w:w="1228" w:type="dxa"/>
            <w:tcBorders>
              <w:top w:val="single" w:color="auto" w:sz="4" w:space="0"/>
              <w:left w:val="single" w:color="auto" w:sz="4" w:space="0"/>
              <w:bottom w:val="single" w:color="auto" w:sz="4" w:space="0"/>
              <w:right w:val="single" w:color="auto" w:sz="4" w:space="0"/>
            </w:tcBorders>
            <w:vAlign w:val="center"/>
          </w:tcPr>
          <w:p w14:paraId="716B47B9">
            <w:pPr>
              <w:pStyle w:val="10"/>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cs="宋体"/>
                <w:color w:val="000000" w:themeColor="text1"/>
                <w:szCs w:val="21"/>
                <w14:textFill>
                  <w14:solidFill>
                    <w14:schemeClr w14:val="tx1"/>
                  </w14:solidFill>
                </w14:textFill>
              </w:rPr>
            </w:pPr>
            <w:r>
              <w:rPr>
                <w:rFonts w:hint="eastAsia" w:ascii="宋体" w:eastAsia="宋体" w:cs="宋体"/>
                <w:color w:val="000000" w:themeColor="text1"/>
                <w:szCs w:val="21"/>
                <w14:textFill>
                  <w14:solidFill>
                    <w14:schemeClr w14:val="tx1"/>
                  </w14:solidFill>
                </w14:textFill>
              </w:rPr>
              <w:t>-</w:t>
            </w:r>
            <w:r>
              <w:rPr>
                <w:rFonts w:ascii="宋体" w:eastAsia="宋体" w:cs="宋体"/>
                <w:color w:val="000000" w:themeColor="text1"/>
                <w:szCs w:val="21"/>
                <w14:textFill>
                  <w14:solidFill>
                    <w14:schemeClr w14:val="tx1"/>
                  </w14:solidFill>
                </w14:textFill>
              </w:rPr>
              <w:t>-</w:t>
            </w:r>
          </w:p>
        </w:tc>
        <w:tc>
          <w:tcPr>
            <w:tcW w:w="1229" w:type="dxa"/>
            <w:tcBorders>
              <w:top w:val="single" w:color="auto" w:sz="4" w:space="0"/>
              <w:left w:val="single" w:color="auto" w:sz="4" w:space="0"/>
              <w:bottom w:val="single" w:color="auto" w:sz="4" w:space="0"/>
              <w:right w:val="single" w:color="auto" w:sz="4" w:space="0"/>
            </w:tcBorders>
            <w:vAlign w:val="center"/>
          </w:tcPr>
          <w:p w14:paraId="769B3604">
            <w:pPr>
              <w:pStyle w:val="10"/>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cs="宋体"/>
                <w:color w:val="000000" w:themeColor="text1"/>
                <w:szCs w:val="21"/>
                <w14:textFill>
                  <w14:solidFill>
                    <w14:schemeClr w14:val="tx1"/>
                  </w14:solidFill>
                </w14:textFill>
              </w:rPr>
            </w:pPr>
            <w:r>
              <w:rPr>
                <w:rFonts w:hint="eastAsia" w:ascii="宋体" w:eastAsia="宋体" w:cs="宋体"/>
                <w:color w:val="000000" w:themeColor="text1"/>
                <w:szCs w:val="21"/>
                <w14:textFill>
                  <w14:solidFill>
                    <w14:schemeClr w14:val="tx1"/>
                  </w14:solidFill>
                </w14:textFill>
              </w:rPr>
              <w:t>4</w:t>
            </w:r>
            <w:r>
              <w:rPr>
                <w:rFonts w:ascii="宋体" w:eastAsia="宋体" w:cs="宋体"/>
                <w:color w:val="000000" w:themeColor="text1"/>
                <w:szCs w:val="21"/>
                <w14:textFill>
                  <w14:solidFill>
                    <w14:schemeClr w14:val="tx1"/>
                  </w14:solidFill>
                </w14:textFill>
              </w:rPr>
              <w:t>.50</w:t>
            </w:r>
          </w:p>
        </w:tc>
        <w:tc>
          <w:tcPr>
            <w:tcW w:w="1229" w:type="dxa"/>
            <w:tcBorders>
              <w:top w:val="single" w:color="auto" w:sz="4" w:space="0"/>
              <w:left w:val="single" w:color="auto" w:sz="4" w:space="0"/>
              <w:bottom w:val="single" w:color="auto" w:sz="4" w:space="0"/>
              <w:right w:val="single" w:color="auto" w:sz="4" w:space="0"/>
            </w:tcBorders>
            <w:vAlign w:val="center"/>
          </w:tcPr>
          <w:p w14:paraId="387A14CC">
            <w:pPr>
              <w:pStyle w:val="10"/>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cs="宋体"/>
                <w:color w:val="000000" w:themeColor="text1"/>
                <w:szCs w:val="21"/>
                <w14:textFill>
                  <w14:solidFill>
                    <w14:schemeClr w14:val="tx1"/>
                  </w14:solidFill>
                </w14:textFill>
              </w:rPr>
            </w:pPr>
            <w:r>
              <w:rPr>
                <w:rFonts w:hint="eastAsia" w:ascii="宋体" w:eastAsia="宋体" w:cs="宋体"/>
                <w:color w:val="000000" w:themeColor="text1"/>
                <w:szCs w:val="21"/>
                <w14:textFill>
                  <w14:solidFill>
                    <w14:schemeClr w14:val="tx1"/>
                  </w14:solidFill>
                </w14:textFill>
              </w:rPr>
              <w:t>-</w:t>
            </w:r>
            <w:r>
              <w:rPr>
                <w:rFonts w:ascii="宋体" w:eastAsia="宋体" w:cs="宋体"/>
                <w:color w:val="000000" w:themeColor="text1"/>
                <w:szCs w:val="21"/>
                <w14:textFill>
                  <w14:solidFill>
                    <w14:schemeClr w14:val="tx1"/>
                  </w14:solidFill>
                </w14:textFill>
              </w:rPr>
              <w:t>-</w:t>
            </w:r>
          </w:p>
        </w:tc>
      </w:tr>
      <w:tr w14:paraId="2E5373C2">
        <w:tblPrEx>
          <w:tblCellMar>
            <w:top w:w="0" w:type="dxa"/>
            <w:left w:w="108" w:type="dxa"/>
            <w:bottom w:w="0" w:type="dxa"/>
            <w:right w:w="108" w:type="dxa"/>
          </w:tblCellMar>
        </w:tblPrEx>
        <w:trPr>
          <w:trHeight w:val="241" w:hRule="atLeast"/>
          <w:jc w:val="center"/>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260C2534">
            <w:pPr>
              <w:pStyle w:val="10"/>
              <w:keepNext w:val="0"/>
              <w:keepLines w:val="0"/>
              <w:pageBreakBefore w:val="0"/>
              <w:widowControl w:val="0"/>
              <w:kinsoku/>
              <w:wordWrap/>
              <w:overflowPunct/>
              <w:topLinePunct w:val="0"/>
              <w:autoSpaceDE/>
              <w:autoSpaceDN/>
              <w:bidi w:val="0"/>
              <w:spacing w:line="300" w:lineRule="exact"/>
              <w:ind w:firstLine="420"/>
              <w:jc w:val="center"/>
              <w:textAlignment w:val="auto"/>
              <w:rPr>
                <w:rFonts w:ascii="宋体" w:eastAsia="宋体" w:cs="宋体"/>
                <w:color w:val="000000" w:themeColor="text1"/>
                <w:szCs w:val="21"/>
                <w14:textFill>
                  <w14:solidFill>
                    <w14:schemeClr w14:val="tx1"/>
                  </w14:solidFill>
                </w14:textFill>
              </w:rPr>
            </w:pPr>
          </w:p>
        </w:tc>
        <w:tc>
          <w:tcPr>
            <w:tcW w:w="4394" w:type="dxa"/>
            <w:tcBorders>
              <w:top w:val="single" w:color="auto" w:sz="4" w:space="0"/>
              <w:left w:val="single" w:color="auto" w:sz="4" w:space="0"/>
              <w:bottom w:val="single" w:color="auto" w:sz="4" w:space="0"/>
              <w:right w:val="single" w:color="auto" w:sz="4" w:space="0"/>
            </w:tcBorders>
            <w:vAlign w:val="center"/>
          </w:tcPr>
          <w:p w14:paraId="1458E53C">
            <w:pPr>
              <w:pStyle w:val="3"/>
              <w:keepNext w:val="0"/>
              <w:keepLines w:val="0"/>
              <w:pageBreakBefore w:val="0"/>
              <w:widowControl w:val="0"/>
              <w:kinsoku/>
              <w:wordWrap/>
              <w:overflowPunct/>
              <w:topLinePunct w:val="0"/>
              <w:autoSpaceDE/>
              <w:autoSpaceDN/>
              <w:bidi w:val="0"/>
              <w:spacing w:after="0" w:line="300" w:lineRule="exact"/>
              <w:ind w:left="0"/>
              <w:jc w:val="left"/>
              <w:textAlignment w:val="auto"/>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9</w:t>
            </w:r>
            <w:r>
              <w:rPr>
                <w:rFonts w:hint="eastAsia" w:ascii="宋体" w:hAnsi="宋体" w:cs="宋体"/>
                <w:color w:val="000000" w:themeColor="text1"/>
                <w:szCs w:val="21"/>
                <w14:textFill>
                  <w14:solidFill>
                    <w14:schemeClr w14:val="tx1"/>
                  </w14:solidFill>
                </w14:textFill>
              </w:rPr>
              <w:t>.人均预期寿命（岁）</w:t>
            </w:r>
          </w:p>
        </w:tc>
        <w:tc>
          <w:tcPr>
            <w:tcW w:w="1228" w:type="dxa"/>
            <w:tcBorders>
              <w:top w:val="single" w:color="auto" w:sz="4" w:space="0"/>
              <w:left w:val="single" w:color="auto" w:sz="4" w:space="0"/>
              <w:bottom w:val="single" w:color="auto" w:sz="4" w:space="0"/>
              <w:right w:val="single" w:color="auto" w:sz="4" w:space="0"/>
            </w:tcBorders>
            <w:vAlign w:val="center"/>
          </w:tcPr>
          <w:p w14:paraId="791E87FB">
            <w:pPr>
              <w:pStyle w:val="10"/>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cs="宋体"/>
                <w:color w:val="000000" w:themeColor="text1"/>
                <w:szCs w:val="21"/>
                <w14:textFill>
                  <w14:solidFill>
                    <w14:schemeClr w14:val="tx1"/>
                  </w14:solidFill>
                </w14:textFill>
              </w:rPr>
            </w:pPr>
            <w:r>
              <w:rPr>
                <w:rFonts w:hint="eastAsia" w:ascii="宋体" w:eastAsia="宋体" w:cs="宋体"/>
                <w:color w:val="000000" w:themeColor="text1"/>
                <w:szCs w:val="21"/>
                <w14:textFill>
                  <w14:solidFill>
                    <w14:schemeClr w14:val="tx1"/>
                  </w14:solidFill>
                </w14:textFill>
              </w:rPr>
              <w:t>7</w:t>
            </w:r>
            <w:r>
              <w:rPr>
                <w:rFonts w:ascii="宋体" w:eastAsia="宋体" w:cs="宋体"/>
                <w:color w:val="000000" w:themeColor="text1"/>
                <w:szCs w:val="21"/>
                <w14:textFill>
                  <w14:solidFill>
                    <w14:schemeClr w14:val="tx1"/>
                  </w14:solidFill>
                </w14:textFill>
              </w:rPr>
              <w:t>7</w:t>
            </w:r>
          </w:p>
        </w:tc>
        <w:tc>
          <w:tcPr>
            <w:tcW w:w="1229" w:type="dxa"/>
            <w:tcBorders>
              <w:top w:val="single" w:color="auto" w:sz="4" w:space="0"/>
              <w:left w:val="single" w:color="auto" w:sz="4" w:space="0"/>
              <w:bottom w:val="single" w:color="auto" w:sz="4" w:space="0"/>
              <w:right w:val="single" w:color="auto" w:sz="4" w:space="0"/>
            </w:tcBorders>
            <w:vAlign w:val="center"/>
          </w:tcPr>
          <w:p w14:paraId="6362EA1D">
            <w:pPr>
              <w:pStyle w:val="10"/>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cs="宋体"/>
                <w:color w:val="000000" w:themeColor="text1"/>
                <w:szCs w:val="21"/>
                <w14:textFill>
                  <w14:solidFill>
                    <w14:schemeClr w14:val="tx1"/>
                  </w14:solidFill>
                </w14:textFill>
              </w:rPr>
            </w:pPr>
            <w:r>
              <w:rPr>
                <w:rFonts w:hint="eastAsia" w:ascii="宋体" w:eastAsia="宋体" w:cs="宋体"/>
                <w:color w:val="000000" w:themeColor="text1"/>
                <w:szCs w:val="21"/>
                <w14:textFill>
                  <w14:solidFill>
                    <w14:schemeClr w14:val="tx1"/>
                  </w14:solidFill>
                </w14:textFill>
              </w:rPr>
              <w:t>7</w:t>
            </w:r>
            <w:r>
              <w:rPr>
                <w:rFonts w:ascii="宋体" w:eastAsia="宋体" w:cs="宋体"/>
                <w:color w:val="000000" w:themeColor="text1"/>
                <w:szCs w:val="21"/>
                <w14:textFill>
                  <w14:solidFill>
                    <w14:schemeClr w14:val="tx1"/>
                  </w14:solidFill>
                </w14:textFill>
              </w:rPr>
              <w:t>8.50</w:t>
            </w:r>
          </w:p>
        </w:tc>
        <w:tc>
          <w:tcPr>
            <w:tcW w:w="1229" w:type="dxa"/>
            <w:tcBorders>
              <w:top w:val="single" w:color="auto" w:sz="4" w:space="0"/>
              <w:left w:val="single" w:color="auto" w:sz="4" w:space="0"/>
              <w:bottom w:val="single" w:color="auto" w:sz="4" w:space="0"/>
              <w:right w:val="single" w:color="auto" w:sz="4" w:space="0"/>
            </w:tcBorders>
            <w:vAlign w:val="center"/>
          </w:tcPr>
          <w:p w14:paraId="4BF75851">
            <w:pPr>
              <w:pStyle w:val="10"/>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cs="宋体"/>
                <w:color w:val="000000" w:themeColor="text1"/>
                <w:szCs w:val="21"/>
                <w14:textFill>
                  <w14:solidFill>
                    <w14:schemeClr w14:val="tx1"/>
                  </w14:solidFill>
                </w14:textFill>
              </w:rPr>
            </w:pPr>
            <w:r>
              <w:rPr>
                <w:rFonts w:ascii="宋体" w:eastAsia="宋体" w:cs="宋体"/>
                <w:color w:val="000000" w:themeColor="text1"/>
                <w:szCs w:val="21"/>
                <w14:textFill>
                  <w14:solidFill>
                    <w14:schemeClr w14:val="tx1"/>
                  </w14:solidFill>
                </w14:textFill>
              </w:rPr>
              <w:t>[</w:t>
            </w:r>
            <w:r>
              <w:rPr>
                <w:rFonts w:hint="eastAsia" w:ascii="宋体" w:eastAsia="宋体" w:cs="宋体"/>
                <w:color w:val="000000" w:themeColor="text1"/>
                <w:szCs w:val="21"/>
                <w14:textFill>
                  <w14:solidFill>
                    <w14:schemeClr w14:val="tx1"/>
                  </w14:solidFill>
                </w14:textFill>
              </w:rPr>
              <w:t>1</w:t>
            </w:r>
            <w:r>
              <w:rPr>
                <w:rFonts w:ascii="宋体" w:eastAsia="宋体" w:cs="宋体"/>
                <w:color w:val="000000" w:themeColor="text1"/>
                <w:szCs w:val="21"/>
                <w14:textFill>
                  <w14:solidFill>
                    <w14:schemeClr w14:val="tx1"/>
                  </w14:solidFill>
                </w14:textFill>
              </w:rPr>
              <w:t>.50]</w:t>
            </w:r>
          </w:p>
        </w:tc>
      </w:tr>
      <w:tr w14:paraId="671E6D30">
        <w:tblPrEx>
          <w:tblCellMar>
            <w:top w:w="0" w:type="dxa"/>
            <w:left w:w="108" w:type="dxa"/>
            <w:bottom w:w="0" w:type="dxa"/>
            <w:right w:w="108" w:type="dxa"/>
          </w:tblCellMar>
        </w:tblPrEx>
        <w:trPr>
          <w:trHeight w:val="241" w:hRule="atLeast"/>
          <w:jc w:val="center"/>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4BEDED2F">
            <w:pPr>
              <w:pStyle w:val="10"/>
              <w:keepNext w:val="0"/>
              <w:keepLines w:val="0"/>
              <w:pageBreakBefore w:val="0"/>
              <w:widowControl w:val="0"/>
              <w:kinsoku/>
              <w:wordWrap/>
              <w:overflowPunct/>
              <w:topLinePunct w:val="0"/>
              <w:autoSpaceDE/>
              <w:autoSpaceDN/>
              <w:bidi w:val="0"/>
              <w:spacing w:line="300" w:lineRule="exact"/>
              <w:ind w:firstLine="420"/>
              <w:jc w:val="center"/>
              <w:textAlignment w:val="auto"/>
              <w:rPr>
                <w:rFonts w:ascii="宋体" w:eastAsia="宋体" w:cs="宋体"/>
                <w:color w:val="000000" w:themeColor="text1"/>
                <w:szCs w:val="21"/>
                <w14:textFill>
                  <w14:solidFill>
                    <w14:schemeClr w14:val="tx1"/>
                  </w14:solidFill>
                </w14:textFill>
              </w:rPr>
            </w:pPr>
          </w:p>
        </w:tc>
        <w:tc>
          <w:tcPr>
            <w:tcW w:w="4394" w:type="dxa"/>
            <w:tcBorders>
              <w:top w:val="single" w:color="auto" w:sz="4" w:space="0"/>
              <w:left w:val="single" w:color="auto" w:sz="4" w:space="0"/>
              <w:bottom w:val="single" w:color="auto" w:sz="4" w:space="0"/>
              <w:right w:val="single" w:color="auto" w:sz="4" w:space="0"/>
            </w:tcBorders>
            <w:vAlign w:val="center"/>
          </w:tcPr>
          <w:p w14:paraId="64CC2A53">
            <w:pPr>
              <w:pStyle w:val="3"/>
              <w:keepNext w:val="0"/>
              <w:keepLines w:val="0"/>
              <w:pageBreakBefore w:val="0"/>
              <w:widowControl w:val="0"/>
              <w:kinsoku/>
              <w:wordWrap/>
              <w:overflowPunct/>
              <w:topLinePunct w:val="0"/>
              <w:autoSpaceDE/>
              <w:autoSpaceDN/>
              <w:bidi w:val="0"/>
              <w:spacing w:after="0" w:line="300" w:lineRule="exact"/>
              <w:ind w:left="0"/>
              <w:jc w:val="left"/>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ascii="宋体" w:hAnsi="宋体" w:cs="宋体"/>
                <w:color w:val="000000" w:themeColor="text1"/>
                <w:szCs w:val="21"/>
                <w14:textFill>
                  <w14:solidFill>
                    <w14:schemeClr w14:val="tx1"/>
                  </w14:solidFill>
                </w14:textFill>
              </w:rPr>
              <w:t>0</w:t>
            </w:r>
            <w:r>
              <w:rPr>
                <w:rFonts w:hint="eastAsia" w:ascii="宋体" w:hAnsi="宋体" w:cs="宋体"/>
                <w:color w:val="000000" w:themeColor="text1"/>
                <w:szCs w:val="21"/>
                <w14:textFill>
                  <w14:solidFill>
                    <w14:schemeClr w14:val="tx1"/>
                  </w14:solidFill>
                </w14:textFill>
              </w:rPr>
              <w:t>.每千人拥有执业（助理）医师数（人）</w:t>
            </w:r>
          </w:p>
        </w:tc>
        <w:tc>
          <w:tcPr>
            <w:tcW w:w="1228" w:type="dxa"/>
            <w:tcBorders>
              <w:top w:val="single" w:color="auto" w:sz="4" w:space="0"/>
              <w:left w:val="single" w:color="auto" w:sz="4" w:space="0"/>
              <w:bottom w:val="single" w:color="auto" w:sz="4" w:space="0"/>
              <w:right w:val="single" w:color="auto" w:sz="4" w:space="0"/>
            </w:tcBorders>
            <w:vAlign w:val="center"/>
          </w:tcPr>
          <w:p w14:paraId="5AB72B10">
            <w:pPr>
              <w:pStyle w:val="10"/>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cs="宋体"/>
                <w:color w:val="000000" w:themeColor="text1"/>
                <w:szCs w:val="21"/>
                <w14:textFill>
                  <w14:solidFill>
                    <w14:schemeClr w14:val="tx1"/>
                  </w14:solidFill>
                </w14:textFill>
              </w:rPr>
            </w:pPr>
            <w:r>
              <w:rPr>
                <w:rFonts w:hint="eastAsia" w:ascii="宋体" w:eastAsia="宋体" w:cs="宋体"/>
                <w:color w:val="000000" w:themeColor="text1"/>
                <w:szCs w:val="21"/>
                <w14:textFill>
                  <w14:solidFill>
                    <w14:schemeClr w14:val="tx1"/>
                  </w14:solidFill>
                </w14:textFill>
              </w:rPr>
              <w:t>2</w:t>
            </w:r>
            <w:r>
              <w:rPr>
                <w:rFonts w:ascii="宋体" w:eastAsia="宋体" w:cs="宋体"/>
                <w:color w:val="000000" w:themeColor="text1"/>
                <w:szCs w:val="21"/>
                <w14:textFill>
                  <w14:solidFill>
                    <w14:schemeClr w14:val="tx1"/>
                  </w14:solidFill>
                </w14:textFill>
              </w:rPr>
              <w:t>.81</w:t>
            </w:r>
          </w:p>
        </w:tc>
        <w:tc>
          <w:tcPr>
            <w:tcW w:w="1229" w:type="dxa"/>
            <w:tcBorders>
              <w:top w:val="single" w:color="auto" w:sz="4" w:space="0"/>
              <w:left w:val="single" w:color="auto" w:sz="4" w:space="0"/>
              <w:bottom w:val="single" w:color="auto" w:sz="4" w:space="0"/>
              <w:right w:val="single" w:color="auto" w:sz="4" w:space="0"/>
            </w:tcBorders>
            <w:vAlign w:val="center"/>
          </w:tcPr>
          <w:p w14:paraId="43A041AD">
            <w:pPr>
              <w:pStyle w:val="10"/>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cs="宋体"/>
                <w:color w:val="000000" w:themeColor="text1"/>
                <w:szCs w:val="21"/>
                <w14:textFill>
                  <w14:solidFill>
                    <w14:schemeClr w14:val="tx1"/>
                  </w14:solidFill>
                </w14:textFill>
              </w:rPr>
            </w:pPr>
            <w:r>
              <w:rPr>
                <w:rFonts w:hint="eastAsia" w:ascii="宋体" w:eastAsia="宋体" w:cs="宋体"/>
                <w:color w:val="000000" w:themeColor="text1"/>
                <w:szCs w:val="21"/>
                <w14:textFill>
                  <w14:solidFill>
                    <w14:schemeClr w14:val="tx1"/>
                  </w14:solidFill>
                </w14:textFill>
              </w:rPr>
              <w:t>3以上</w:t>
            </w:r>
          </w:p>
        </w:tc>
        <w:tc>
          <w:tcPr>
            <w:tcW w:w="1229" w:type="dxa"/>
            <w:tcBorders>
              <w:top w:val="single" w:color="auto" w:sz="4" w:space="0"/>
              <w:left w:val="single" w:color="auto" w:sz="4" w:space="0"/>
              <w:bottom w:val="single" w:color="auto" w:sz="4" w:space="0"/>
              <w:right w:val="single" w:color="auto" w:sz="4" w:space="0"/>
            </w:tcBorders>
            <w:vAlign w:val="center"/>
          </w:tcPr>
          <w:p w14:paraId="0647F7EC">
            <w:pPr>
              <w:pStyle w:val="10"/>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cs="宋体"/>
                <w:color w:val="000000" w:themeColor="text1"/>
                <w:szCs w:val="21"/>
                <w14:textFill>
                  <w14:solidFill>
                    <w14:schemeClr w14:val="tx1"/>
                  </w14:solidFill>
                </w14:textFill>
              </w:rPr>
            </w:pPr>
            <w:r>
              <w:rPr>
                <w:rFonts w:hint="eastAsia" w:ascii="宋体" w:eastAsia="宋体" w:cs="宋体"/>
                <w:color w:val="000000" w:themeColor="text1"/>
                <w:szCs w:val="21"/>
                <w14:textFill>
                  <w14:solidFill>
                    <w14:schemeClr w14:val="tx1"/>
                  </w14:solidFill>
                </w14:textFill>
              </w:rPr>
              <w:t>[</w:t>
            </w:r>
            <w:r>
              <w:rPr>
                <w:rFonts w:ascii="宋体" w:eastAsia="宋体" w:cs="宋体"/>
                <w:color w:val="000000" w:themeColor="text1"/>
                <w:szCs w:val="21"/>
                <w14:textFill>
                  <w14:solidFill>
                    <w14:schemeClr w14:val="tx1"/>
                  </w14:solidFill>
                </w14:textFill>
              </w:rPr>
              <w:t>0.19]</w:t>
            </w:r>
          </w:p>
        </w:tc>
      </w:tr>
      <w:tr w14:paraId="702C5CF3">
        <w:tblPrEx>
          <w:tblCellMar>
            <w:top w:w="0" w:type="dxa"/>
            <w:left w:w="108" w:type="dxa"/>
            <w:bottom w:w="0" w:type="dxa"/>
            <w:right w:w="108" w:type="dxa"/>
          </w:tblCellMar>
        </w:tblPrEx>
        <w:trPr>
          <w:trHeight w:val="235" w:hRule="atLeast"/>
          <w:jc w:val="center"/>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5935BFF1">
            <w:pPr>
              <w:pStyle w:val="10"/>
              <w:keepNext w:val="0"/>
              <w:keepLines w:val="0"/>
              <w:pageBreakBefore w:val="0"/>
              <w:widowControl w:val="0"/>
              <w:kinsoku/>
              <w:wordWrap/>
              <w:overflowPunct/>
              <w:topLinePunct w:val="0"/>
              <w:autoSpaceDE/>
              <w:autoSpaceDN/>
              <w:bidi w:val="0"/>
              <w:spacing w:line="300" w:lineRule="exact"/>
              <w:ind w:firstLine="420"/>
              <w:jc w:val="center"/>
              <w:textAlignment w:val="auto"/>
              <w:rPr>
                <w:rFonts w:ascii="宋体" w:eastAsia="宋体" w:cs="宋体"/>
                <w:color w:val="000000" w:themeColor="text1"/>
                <w:szCs w:val="21"/>
                <w14:textFill>
                  <w14:solidFill>
                    <w14:schemeClr w14:val="tx1"/>
                  </w14:solidFill>
                </w14:textFill>
              </w:rPr>
            </w:pPr>
          </w:p>
        </w:tc>
        <w:tc>
          <w:tcPr>
            <w:tcW w:w="4394" w:type="dxa"/>
            <w:tcBorders>
              <w:top w:val="single" w:color="auto" w:sz="4" w:space="0"/>
              <w:left w:val="single" w:color="auto" w:sz="4" w:space="0"/>
              <w:bottom w:val="single" w:color="auto" w:sz="4" w:space="0"/>
              <w:right w:val="single" w:color="auto" w:sz="4" w:space="0"/>
            </w:tcBorders>
            <w:vAlign w:val="center"/>
          </w:tcPr>
          <w:p w14:paraId="5D2CC5E4">
            <w:pPr>
              <w:pStyle w:val="3"/>
              <w:keepNext w:val="0"/>
              <w:keepLines w:val="0"/>
              <w:pageBreakBefore w:val="0"/>
              <w:widowControl w:val="0"/>
              <w:kinsoku/>
              <w:wordWrap/>
              <w:overflowPunct/>
              <w:topLinePunct w:val="0"/>
              <w:autoSpaceDE/>
              <w:autoSpaceDN/>
              <w:bidi w:val="0"/>
              <w:spacing w:after="0" w:line="300" w:lineRule="exact"/>
              <w:ind w:left="0"/>
              <w:jc w:val="left"/>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.居民基本养老保险覆盖率（%）</w:t>
            </w:r>
          </w:p>
        </w:tc>
        <w:tc>
          <w:tcPr>
            <w:tcW w:w="1228" w:type="dxa"/>
            <w:tcBorders>
              <w:top w:val="single" w:color="auto" w:sz="4" w:space="0"/>
              <w:left w:val="single" w:color="auto" w:sz="4" w:space="0"/>
              <w:bottom w:val="single" w:color="auto" w:sz="4" w:space="0"/>
              <w:right w:val="single" w:color="auto" w:sz="4" w:space="0"/>
            </w:tcBorders>
            <w:vAlign w:val="center"/>
          </w:tcPr>
          <w:p w14:paraId="12F849CD">
            <w:pPr>
              <w:pStyle w:val="10"/>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cs="宋体"/>
                <w:color w:val="000000" w:themeColor="text1"/>
                <w:szCs w:val="21"/>
                <w14:textFill>
                  <w14:solidFill>
                    <w14:schemeClr w14:val="tx1"/>
                  </w14:solidFill>
                </w14:textFill>
              </w:rPr>
            </w:pPr>
            <w:r>
              <w:rPr>
                <w:rFonts w:hint="eastAsia" w:ascii="宋体" w:eastAsia="宋体" w:cs="宋体"/>
                <w:color w:val="000000" w:themeColor="text1"/>
                <w:szCs w:val="21"/>
                <w14:textFill>
                  <w14:solidFill>
                    <w14:schemeClr w14:val="tx1"/>
                  </w14:solidFill>
                </w14:textFill>
              </w:rPr>
              <w:t>9</w:t>
            </w:r>
            <w:r>
              <w:rPr>
                <w:rFonts w:ascii="宋体" w:eastAsia="宋体" w:cs="宋体"/>
                <w:color w:val="000000" w:themeColor="text1"/>
                <w:szCs w:val="21"/>
                <w14:textFill>
                  <w14:solidFill>
                    <w14:schemeClr w14:val="tx1"/>
                  </w14:solidFill>
                </w14:textFill>
              </w:rPr>
              <w:t>9.80</w:t>
            </w:r>
          </w:p>
        </w:tc>
        <w:tc>
          <w:tcPr>
            <w:tcW w:w="1229" w:type="dxa"/>
            <w:tcBorders>
              <w:top w:val="single" w:color="auto" w:sz="4" w:space="0"/>
              <w:left w:val="single" w:color="auto" w:sz="4" w:space="0"/>
              <w:bottom w:val="single" w:color="auto" w:sz="4" w:space="0"/>
              <w:right w:val="single" w:color="auto" w:sz="4" w:space="0"/>
            </w:tcBorders>
            <w:vAlign w:val="center"/>
          </w:tcPr>
          <w:p w14:paraId="3619BFD9">
            <w:pPr>
              <w:pStyle w:val="10"/>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cs="宋体"/>
                <w:color w:val="000000" w:themeColor="text1"/>
                <w:szCs w:val="21"/>
                <w14:textFill>
                  <w14:solidFill>
                    <w14:schemeClr w14:val="tx1"/>
                  </w14:solidFill>
                </w14:textFill>
              </w:rPr>
            </w:pPr>
            <w:r>
              <w:rPr>
                <w:rFonts w:hint="eastAsia" w:ascii="宋体" w:eastAsia="宋体" w:cs="宋体"/>
                <w:color w:val="000000" w:themeColor="text1"/>
                <w:szCs w:val="21"/>
                <w14:textFill>
                  <w14:solidFill>
                    <w14:schemeClr w14:val="tx1"/>
                  </w14:solidFill>
                </w14:textFill>
              </w:rPr>
              <w:t>9</w:t>
            </w:r>
            <w:r>
              <w:rPr>
                <w:rFonts w:ascii="宋体" w:eastAsia="宋体" w:cs="宋体"/>
                <w:color w:val="000000" w:themeColor="text1"/>
                <w:szCs w:val="21"/>
                <w14:textFill>
                  <w14:solidFill>
                    <w14:schemeClr w14:val="tx1"/>
                  </w14:solidFill>
                </w14:textFill>
              </w:rPr>
              <w:t>9</w:t>
            </w:r>
            <w:r>
              <w:rPr>
                <w:rFonts w:hint="eastAsia" w:ascii="宋体" w:eastAsia="宋体" w:cs="宋体"/>
                <w:color w:val="000000" w:themeColor="text1"/>
                <w:szCs w:val="21"/>
                <w14:textFill>
                  <w14:solidFill>
                    <w14:schemeClr w14:val="tx1"/>
                  </w14:solidFill>
                </w14:textFill>
              </w:rPr>
              <w:t>以上</w:t>
            </w:r>
          </w:p>
        </w:tc>
        <w:tc>
          <w:tcPr>
            <w:tcW w:w="1229" w:type="dxa"/>
            <w:tcBorders>
              <w:top w:val="single" w:color="auto" w:sz="4" w:space="0"/>
              <w:left w:val="single" w:color="auto" w:sz="4" w:space="0"/>
              <w:bottom w:val="single" w:color="auto" w:sz="4" w:space="0"/>
              <w:right w:val="single" w:color="auto" w:sz="4" w:space="0"/>
            </w:tcBorders>
            <w:vAlign w:val="center"/>
          </w:tcPr>
          <w:p w14:paraId="2D4414AC">
            <w:pPr>
              <w:pStyle w:val="10"/>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cs="宋体"/>
                <w:color w:val="000000" w:themeColor="text1"/>
                <w:szCs w:val="21"/>
                <w14:textFill>
                  <w14:solidFill>
                    <w14:schemeClr w14:val="tx1"/>
                  </w14:solidFill>
                </w14:textFill>
              </w:rPr>
            </w:pPr>
            <w:r>
              <w:rPr>
                <w:rFonts w:hint="eastAsia" w:ascii="宋体" w:eastAsia="宋体" w:cs="宋体"/>
                <w:color w:val="000000" w:themeColor="text1"/>
                <w:szCs w:val="21"/>
                <w14:textFill>
                  <w14:solidFill>
                    <w14:schemeClr w14:val="tx1"/>
                  </w14:solidFill>
                </w14:textFill>
              </w:rPr>
              <w:t>-</w:t>
            </w:r>
            <w:r>
              <w:rPr>
                <w:rFonts w:ascii="宋体" w:eastAsia="宋体" w:cs="宋体"/>
                <w:color w:val="000000" w:themeColor="text1"/>
                <w:szCs w:val="21"/>
                <w14:textFill>
                  <w14:solidFill>
                    <w14:schemeClr w14:val="tx1"/>
                  </w14:solidFill>
                </w14:textFill>
              </w:rPr>
              <w:t>-</w:t>
            </w:r>
          </w:p>
        </w:tc>
      </w:tr>
      <w:tr w14:paraId="49F83B63">
        <w:tblPrEx>
          <w:tblCellMar>
            <w:top w:w="0" w:type="dxa"/>
            <w:left w:w="108" w:type="dxa"/>
            <w:bottom w:w="0" w:type="dxa"/>
            <w:right w:w="108" w:type="dxa"/>
          </w:tblCellMar>
        </w:tblPrEx>
        <w:trPr>
          <w:trHeight w:val="234" w:hRule="atLeast"/>
          <w:jc w:val="center"/>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60AC3AF2">
            <w:pPr>
              <w:pStyle w:val="10"/>
              <w:keepNext w:val="0"/>
              <w:keepLines w:val="0"/>
              <w:pageBreakBefore w:val="0"/>
              <w:widowControl w:val="0"/>
              <w:kinsoku/>
              <w:wordWrap/>
              <w:overflowPunct/>
              <w:topLinePunct w:val="0"/>
              <w:autoSpaceDE/>
              <w:autoSpaceDN/>
              <w:bidi w:val="0"/>
              <w:spacing w:line="300" w:lineRule="exact"/>
              <w:ind w:firstLine="420"/>
              <w:jc w:val="center"/>
              <w:textAlignment w:val="auto"/>
              <w:rPr>
                <w:rFonts w:ascii="宋体" w:eastAsia="宋体" w:cs="宋体"/>
                <w:color w:val="000000" w:themeColor="text1"/>
                <w:szCs w:val="21"/>
                <w14:textFill>
                  <w14:solidFill>
                    <w14:schemeClr w14:val="tx1"/>
                  </w14:solidFill>
                </w14:textFill>
              </w:rPr>
            </w:pPr>
          </w:p>
        </w:tc>
        <w:tc>
          <w:tcPr>
            <w:tcW w:w="4394" w:type="dxa"/>
            <w:tcBorders>
              <w:top w:val="single" w:color="auto" w:sz="4" w:space="0"/>
              <w:left w:val="single" w:color="auto" w:sz="4" w:space="0"/>
              <w:bottom w:val="single" w:color="auto" w:sz="4" w:space="0"/>
              <w:right w:val="single" w:color="auto" w:sz="4" w:space="0"/>
            </w:tcBorders>
            <w:vAlign w:val="center"/>
          </w:tcPr>
          <w:p w14:paraId="3B582223">
            <w:pPr>
              <w:pStyle w:val="3"/>
              <w:keepNext w:val="0"/>
              <w:keepLines w:val="0"/>
              <w:pageBreakBefore w:val="0"/>
              <w:widowControl w:val="0"/>
              <w:kinsoku/>
              <w:wordWrap/>
              <w:overflowPunct/>
              <w:topLinePunct w:val="0"/>
              <w:autoSpaceDE/>
              <w:autoSpaceDN/>
              <w:bidi w:val="0"/>
              <w:spacing w:after="0" w:line="300" w:lineRule="exact"/>
              <w:ind w:left="0"/>
              <w:jc w:val="left"/>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.劳动年龄人口平均受教育年限（年）</w:t>
            </w:r>
          </w:p>
        </w:tc>
        <w:tc>
          <w:tcPr>
            <w:tcW w:w="1228" w:type="dxa"/>
            <w:tcBorders>
              <w:top w:val="single" w:color="auto" w:sz="4" w:space="0"/>
              <w:left w:val="single" w:color="auto" w:sz="4" w:space="0"/>
              <w:bottom w:val="single" w:color="auto" w:sz="4" w:space="0"/>
              <w:right w:val="single" w:color="auto" w:sz="4" w:space="0"/>
            </w:tcBorders>
            <w:vAlign w:val="center"/>
          </w:tcPr>
          <w:p w14:paraId="18C94606">
            <w:pPr>
              <w:pStyle w:val="10"/>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cs="宋体"/>
                <w:color w:val="000000" w:themeColor="text1"/>
                <w:szCs w:val="21"/>
                <w14:textFill>
                  <w14:solidFill>
                    <w14:schemeClr w14:val="tx1"/>
                  </w14:solidFill>
                </w14:textFill>
              </w:rPr>
            </w:pPr>
            <w:r>
              <w:rPr>
                <w:rFonts w:ascii="宋体" w:eastAsia="宋体" w:cs="宋体"/>
                <w:color w:val="000000" w:themeColor="text1"/>
                <w:szCs w:val="21"/>
                <w14:textFill>
                  <w14:solidFill>
                    <w14:schemeClr w14:val="tx1"/>
                  </w14:solidFill>
                </w14:textFill>
              </w:rPr>
              <w:t>11.20</w:t>
            </w:r>
          </w:p>
        </w:tc>
        <w:tc>
          <w:tcPr>
            <w:tcW w:w="1229" w:type="dxa"/>
            <w:tcBorders>
              <w:top w:val="single" w:color="auto" w:sz="4" w:space="0"/>
              <w:left w:val="single" w:color="auto" w:sz="4" w:space="0"/>
              <w:bottom w:val="single" w:color="auto" w:sz="4" w:space="0"/>
              <w:right w:val="single" w:color="auto" w:sz="4" w:space="0"/>
            </w:tcBorders>
            <w:vAlign w:val="center"/>
          </w:tcPr>
          <w:p w14:paraId="68CF2D7D">
            <w:pPr>
              <w:pStyle w:val="10"/>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cs="宋体"/>
                <w:color w:val="000000" w:themeColor="text1"/>
                <w:szCs w:val="21"/>
                <w14:textFill>
                  <w14:solidFill>
                    <w14:schemeClr w14:val="tx1"/>
                  </w14:solidFill>
                </w14:textFill>
              </w:rPr>
            </w:pPr>
            <w:r>
              <w:rPr>
                <w:rFonts w:ascii="宋体" w:eastAsia="宋体" w:cs="宋体"/>
                <w:color w:val="000000" w:themeColor="text1"/>
                <w:szCs w:val="21"/>
                <w14:textFill>
                  <w14:solidFill>
                    <w14:schemeClr w14:val="tx1"/>
                  </w14:solidFill>
                </w14:textFill>
              </w:rPr>
              <w:t>12</w:t>
            </w:r>
          </w:p>
        </w:tc>
        <w:tc>
          <w:tcPr>
            <w:tcW w:w="1229" w:type="dxa"/>
            <w:tcBorders>
              <w:top w:val="single" w:color="auto" w:sz="4" w:space="0"/>
              <w:left w:val="single" w:color="auto" w:sz="4" w:space="0"/>
              <w:bottom w:val="single" w:color="auto" w:sz="4" w:space="0"/>
              <w:right w:val="single" w:color="auto" w:sz="4" w:space="0"/>
            </w:tcBorders>
            <w:vAlign w:val="center"/>
          </w:tcPr>
          <w:p w14:paraId="379710EE">
            <w:pPr>
              <w:pStyle w:val="10"/>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cs="宋体"/>
                <w:color w:val="000000" w:themeColor="text1"/>
                <w:szCs w:val="21"/>
                <w14:textFill>
                  <w14:solidFill>
                    <w14:schemeClr w14:val="tx1"/>
                  </w14:solidFill>
                </w14:textFill>
              </w:rPr>
            </w:pPr>
            <w:r>
              <w:rPr>
                <w:rFonts w:ascii="宋体" w:eastAsia="宋体" w:cs="宋体"/>
                <w:color w:val="000000" w:themeColor="text1"/>
                <w:szCs w:val="21"/>
                <w14:textFill>
                  <w14:solidFill>
                    <w14:schemeClr w14:val="tx1"/>
                  </w14:solidFill>
                </w14:textFill>
              </w:rPr>
              <w:t>[</w:t>
            </w:r>
            <w:r>
              <w:rPr>
                <w:rFonts w:hint="eastAsia" w:ascii="宋体" w:eastAsia="宋体" w:cs="宋体"/>
                <w:color w:val="000000" w:themeColor="text1"/>
                <w:szCs w:val="21"/>
                <w14:textFill>
                  <w14:solidFill>
                    <w14:schemeClr w14:val="tx1"/>
                  </w14:solidFill>
                </w14:textFill>
              </w:rPr>
              <w:t>0</w:t>
            </w:r>
            <w:r>
              <w:rPr>
                <w:rFonts w:ascii="宋体" w:eastAsia="宋体" w:cs="宋体"/>
                <w:color w:val="000000" w:themeColor="text1"/>
                <w:szCs w:val="21"/>
                <w14:textFill>
                  <w14:solidFill>
                    <w14:schemeClr w14:val="tx1"/>
                  </w14:solidFill>
                </w14:textFill>
              </w:rPr>
              <w:t>.80]</w:t>
            </w:r>
          </w:p>
        </w:tc>
      </w:tr>
      <w:tr w14:paraId="7F658FA6">
        <w:tblPrEx>
          <w:tblCellMar>
            <w:top w:w="0" w:type="dxa"/>
            <w:left w:w="108" w:type="dxa"/>
            <w:bottom w:w="0" w:type="dxa"/>
            <w:right w:w="108" w:type="dxa"/>
          </w:tblCellMar>
        </w:tblPrEx>
        <w:trPr>
          <w:trHeight w:val="481" w:hRule="atLeast"/>
          <w:jc w:val="center"/>
        </w:trPr>
        <w:tc>
          <w:tcPr>
            <w:tcW w:w="817" w:type="dxa"/>
            <w:vMerge w:val="restart"/>
            <w:tcBorders>
              <w:top w:val="single" w:color="auto" w:sz="4" w:space="0"/>
              <w:left w:val="single" w:color="auto" w:sz="4" w:space="0"/>
              <w:bottom w:val="single" w:color="auto" w:sz="4" w:space="0"/>
              <w:right w:val="single" w:color="auto" w:sz="4" w:space="0"/>
            </w:tcBorders>
            <w:vAlign w:val="center"/>
          </w:tcPr>
          <w:p w14:paraId="631B2527">
            <w:pPr>
              <w:pStyle w:val="10"/>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cs="宋体"/>
                <w:color w:val="000000" w:themeColor="text1"/>
                <w:szCs w:val="21"/>
                <w14:textFill>
                  <w14:solidFill>
                    <w14:schemeClr w14:val="tx1"/>
                  </w14:solidFill>
                </w14:textFill>
              </w:rPr>
            </w:pPr>
            <w:r>
              <w:rPr>
                <w:rFonts w:hint="eastAsia" w:ascii="宋体" w:eastAsia="宋体" w:cs="宋体"/>
                <w:color w:val="000000" w:themeColor="text1"/>
                <w:szCs w:val="21"/>
                <w14:textFill>
                  <w14:solidFill>
                    <w14:schemeClr w14:val="tx1"/>
                  </w14:solidFill>
                </w14:textFill>
              </w:rPr>
              <w:t>绿色</w:t>
            </w:r>
          </w:p>
          <w:p w14:paraId="213968E4">
            <w:pPr>
              <w:pStyle w:val="10"/>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cs="宋体"/>
                <w:color w:val="000000" w:themeColor="text1"/>
                <w:szCs w:val="21"/>
                <w14:textFill>
                  <w14:solidFill>
                    <w14:schemeClr w14:val="tx1"/>
                  </w14:solidFill>
                </w14:textFill>
              </w:rPr>
            </w:pPr>
            <w:r>
              <w:rPr>
                <w:rFonts w:hint="eastAsia" w:ascii="宋体" w:eastAsia="宋体" w:cs="宋体"/>
                <w:color w:val="000000" w:themeColor="text1"/>
                <w:szCs w:val="21"/>
                <w14:textFill>
                  <w14:solidFill>
                    <w14:schemeClr w14:val="tx1"/>
                  </w14:solidFill>
                </w14:textFill>
              </w:rPr>
              <w:t>转型</w:t>
            </w:r>
          </w:p>
        </w:tc>
        <w:tc>
          <w:tcPr>
            <w:tcW w:w="4394" w:type="dxa"/>
            <w:tcBorders>
              <w:top w:val="single" w:color="auto" w:sz="4" w:space="0"/>
              <w:left w:val="single" w:color="auto" w:sz="4" w:space="0"/>
              <w:bottom w:val="single" w:color="auto" w:sz="4" w:space="0"/>
              <w:right w:val="single" w:color="auto" w:sz="4" w:space="0"/>
            </w:tcBorders>
            <w:vAlign w:val="center"/>
          </w:tcPr>
          <w:p w14:paraId="782EDDAD">
            <w:pPr>
              <w:pStyle w:val="3"/>
              <w:keepNext w:val="0"/>
              <w:keepLines w:val="0"/>
              <w:pageBreakBefore w:val="0"/>
              <w:widowControl w:val="0"/>
              <w:kinsoku/>
              <w:wordWrap/>
              <w:overflowPunct/>
              <w:topLinePunct w:val="0"/>
              <w:autoSpaceDE/>
              <w:autoSpaceDN/>
              <w:bidi w:val="0"/>
              <w:spacing w:after="0" w:line="300" w:lineRule="exact"/>
              <w:ind w:left="0"/>
              <w:jc w:val="left"/>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.单位GDP能源消耗降幅（%）</w:t>
            </w:r>
          </w:p>
        </w:tc>
        <w:tc>
          <w:tcPr>
            <w:tcW w:w="1228" w:type="dxa"/>
            <w:tcBorders>
              <w:top w:val="single" w:color="auto" w:sz="4" w:space="0"/>
              <w:left w:val="single" w:color="auto" w:sz="4" w:space="0"/>
              <w:bottom w:val="single" w:color="auto" w:sz="4" w:space="0"/>
              <w:right w:val="single" w:color="auto" w:sz="4" w:space="0"/>
            </w:tcBorders>
            <w:vAlign w:val="center"/>
          </w:tcPr>
          <w:p w14:paraId="0856C17A">
            <w:pPr>
              <w:pStyle w:val="10"/>
              <w:keepNext w:val="0"/>
              <w:keepLines w:val="0"/>
              <w:pageBreakBefore w:val="0"/>
              <w:widowControl w:val="0"/>
              <w:kinsoku/>
              <w:wordWrap/>
              <w:overflowPunct/>
              <w:topLinePunct w:val="0"/>
              <w:autoSpaceDE/>
              <w:autoSpaceDN/>
              <w:bidi w:val="0"/>
              <w:spacing w:line="240" w:lineRule="auto"/>
              <w:jc w:val="center"/>
              <w:textAlignment w:val="auto"/>
              <w:rPr>
                <w:rFonts w:ascii="宋体" w:eastAsia="宋体" w:cs="宋体"/>
                <w:color w:val="000000" w:themeColor="text1"/>
                <w:szCs w:val="21"/>
                <w14:textFill>
                  <w14:solidFill>
                    <w14:schemeClr w14:val="tx1"/>
                  </w14:solidFill>
                </w14:textFill>
              </w:rPr>
            </w:pPr>
            <w:r>
              <w:rPr>
                <w:rFonts w:hint="eastAsia" w:ascii="宋体" w:eastAsia="宋体" w:cs="宋体"/>
                <w:color w:val="000000" w:themeColor="text1"/>
                <w:szCs w:val="21"/>
                <w14:textFill>
                  <w14:solidFill>
                    <w14:schemeClr w14:val="tx1"/>
                  </w14:solidFill>
                </w14:textFill>
              </w:rPr>
              <w:t>-</w:t>
            </w:r>
            <w:r>
              <w:rPr>
                <w:rFonts w:ascii="宋体" w:eastAsia="宋体" w:cs="宋体"/>
                <w:color w:val="000000" w:themeColor="text1"/>
                <w:szCs w:val="21"/>
                <w14:textFill>
                  <w14:solidFill>
                    <w14:schemeClr w14:val="tx1"/>
                  </w14:solidFill>
                </w14:textFill>
              </w:rPr>
              <w:t>-</w:t>
            </w:r>
          </w:p>
        </w:tc>
        <w:tc>
          <w:tcPr>
            <w:tcW w:w="1229" w:type="dxa"/>
            <w:tcBorders>
              <w:top w:val="single" w:color="auto" w:sz="4" w:space="0"/>
              <w:left w:val="single" w:color="auto" w:sz="4" w:space="0"/>
              <w:bottom w:val="single" w:color="auto" w:sz="4" w:space="0"/>
              <w:right w:val="single" w:color="auto" w:sz="4" w:space="0"/>
            </w:tcBorders>
            <w:vAlign w:val="center"/>
          </w:tcPr>
          <w:p w14:paraId="43C559A5">
            <w:pPr>
              <w:pStyle w:val="10"/>
              <w:keepNext w:val="0"/>
              <w:keepLines w:val="0"/>
              <w:pageBreakBefore w:val="0"/>
              <w:widowControl w:val="0"/>
              <w:kinsoku/>
              <w:wordWrap/>
              <w:overflowPunct/>
              <w:topLinePunct w:val="0"/>
              <w:autoSpaceDE/>
              <w:autoSpaceDN/>
              <w:bidi w:val="0"/>
              <w:spacing w:line="240" w:lineRule="auto"/>
              <w:jc w:val="center"/>
              <w:textAlignment w:val="auto"/>
              <w:rPr>
                <w:rFonts w:ascii="宋体" w:eastAsia="宋体" w:cs="宋体"/>
                <w:color w:val="000000" w:themeColor="text1"/>
                <w:szCs w:val="21"/>
                <w14:textFill>
                  <w14:solidFill>
                    <w14:schemeClr w14:val="tx1"/>
                  </w14:solidFill>
                </w14:textFill>
              </w:rPr>
            </w:pPr>
            <w:r>
              <w:rPr>
                <w:rFonts w:hint="eastAsia" w:ascii="宋体" w:eastAsia="宋体" w:cs="宋体"/>
                <w:color w:val="000000" w:themeColor="text1"/>
                <w:szCs w:val="21"/>
                <w14:textFill>
                  <w14:solidFill>
                    <w14:schemeClr w14:val="tx1"/>
                  </w14:solidFill>
                </w14:textFill>
              </w:rPr>
              <w:t>-</w:t>
            </w:r>
            <w:r>
              <w:rPr>
                <w:rFonts w:ascii="宋体" w:eastAsia="宋体" w:cs="宋体"/>
                <w:color w:val="000000" w:themeColor="text1"/>
                <w:szCs w:val="21"/>
                <w14:textFill>
                  <w14:solidFill>
                    <w14:schemeClr w14:val="tx1"/>
                  </w14:solidFill>
                </w14:textFill>
              </w:rPr>
              <w:t>-</w:t>
            </w:r>
          </w:p>
        </w:tc>
        <w:tc>
          <w:tcPr>
            <w:tcW w:w="1229" w:type="dxa"/>
            <w:tcBorders>
              <w:top w:val="single" w:color="auto" w:sz="4" w:space="0"/>
              <w:left w:val="single" w:color="auto" w:sz="4" w:space="0"/>
              <w:bottom w:val="single" w:color="auto" w:sz="4" w:space="0"/>
              <w:right w:val="single" w:color="auto" w:sz="4" w:space="0"/>
            </w:tcBorders>
            <w:vAlign w:val="center"/>
          </w:tcPr>
          <w:p w14:paraId="220AC486">
            <w:pPr>
              <w:pStyle w:val="10"/>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cs="宋体"/>
                <w:color w:val="000000" w:themeColor="text1"/>
                <w:szCs w:val="21"/>
                <w14:textFill>
                  <w14:solidFill>
                    <w14:schemeClr w14:val="tx1"/>
                  </w14:solidFill>
                </w14:textFill>
              </w:rPr>
            </w:pPr>
            <w:r>
              <w:rPr>
                <w:rFonts w:hint="eastAsia" w:ascii="宋体" w:eastAsia="宋体" w:cs="宋体"/>
                <w:color w:val="000000" w:themeColor="text1"/>
                <w:szCs w:val="21"/>
                <w14:textFill>
                  <w14:solidFill>
                    <w14:schemeClr w14:val="tx1"/>
                  </w14:solidFill>
                </w14:textFill>
              </w:rPr>
              <w:t>完成市下达任务</w:t>
            </w:r>
          </w:p>
        </w:tc>
      </w:tr>
      <w:tr w14:paraId="1A7DD5B2">
        <w:tblPrEx>
          <w:tblCellMar>
            <w:top w:w="0" w:type="dxa"/>
            <w:left w:w="108" w:type="dxa"/>
            <w:bottom w:w="0" w:type="dxa"/>
            <w:right w:w="108" w:type="dxa"/>
          </w:tblCellMar>
        </w:tblPrEx>
        <w:trPr>
          <w:trHeight w:val="481" w:hRule="atLeast"/>
          <w:jc w:val="center"/>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017C1117">
            <w:pPr>
              <w:pStyle w:val="10"/>
              <w:keepNext w:val="0"/>
              <w:keepLines w:val="0"/>
              <w:pageBreakBefore w:val="0"/>
              <w:widowControl w:val="0"/>
              <w:kinsoku/>
              <w:wordWrap/>
              <w:overflowPunct/>
              <w:topLinePunct w:val="0"/>
              <w:autoSpaceDE/>
              <w:autoSpaceDN/>
              <w:bidi w:val="0"/>
              <w:spacing w:line="300" w:lineRule="exact"/>
              <w:ind w:firstLine="420"/>
              <w:jc w:val="center"/>
              <w:textAlignment w:val="auto"/>
              <w:rPr>
                <w:rFonts w:ascii="宋体" w:eastAsia="宋体" w:cs="宋体"/>
                <w:color w:val="000000" w:themeColor="text1"/>
                <w:szCs w:val="21"/>
                <w14:textFill>
                  <w14:solidFill>
                    <w14:schemeClr w14:val="tx1"/>
                  </w14:solidFill>
                </w14:textFill>
              </w:rPr>
            </w:pPr>
          </w:p>
        </w:tc>
        <w:tc>
          <w:tcPr>
            <w:tcW w:w="4394" w:type="dxa"/>
            <w:tcBorders>
              <w:top w:val="single" w:color="auto" w:sz="4" w:space="0"/>
              <w:left w:val="single" w:color="auto" w:sz="4" w:space="0"/>
              <w:bottom w:val="single" w:color="auto" w:sz="4" w:space="0"/>
              <w:right w:val="single" w:color="auto" w:sz="4" w:space="0"/>
            </w:tcBorders>
            <w:vAlign w:val="center"/>
          </w:tcPr>
          <w:p w14:paraId="656C2B83">
            <w:pPr>
              <w:pStyle w:val="3"/>
              <w:keepNext w:val="0"/>
              <w:keepLines w:val="0"/>
              <w:pageBreakBefore w:val="0"/>
              <w:widowControl w:val="0"/>
              <w:kinsoku/>
              <w:wordWrap/>
              <w:overflowPunct/>
              <w:topLinePunct w:val="0"/>
              <w:autoSpaceDE/>
              <w:autoSpaceDN/>
              <w:bidi w:val="0"/>
              <w:spacing w:after="0" w:line="300" w:lineRule="exact"/>
              <w:ind w:left="0"/>
              <w:jc w:val="left"/>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.单位GDP二氧化碳排放降幅（%）</w:t>
            </w:r>
          </w:p>
        </w:tc>
        <w:tc>
          <w:tcPr>
            <w:tcW w:w="1228" w:type="dxa"/>
            <w:tcBorders>
              <w:top w:val="single" w:color="auto" w:sz="4" w:space="0"/>
              <w:left w:val="single" w:color="auto" w:sz="4" w:space="0"/>
              <w:bottom w:val="single" w:color="auto" w:sz="4" w:space="0"/>
              <w:right w:val="single" w:color="auto" w:sz="4" w:space="0"/>
            </w:tcBorders>
            <w:vAlign w:val="center"/>
          </w:tcPr>
          <w:p w14:paraId="428BB4D7">
            <w:pPr>
              <w:pStyle w:val="10"/>
              <w:keepNext w:val="0"/>
              <w:keepLines w:val="0"/>
              <w:pageBreakBefore w:val="0"/>
              <w:widowControl w:val="0"/>
              <w:kinsoku/>
              <w:wordWrap/>
              <w:overflowPunct/>
              <w:topLinePunct w:val="0"/>
              <w:autoSpaceDE/>
              <w:autoSpaceDN/>
              <w:bidi w:val="0"/>
              <w:spacing w:line="240" w:lineRule="auto"/>
              <w:jc w:val="center"/>
              <w:textAlignment w:val="auto"/>
              <w:rPr>
                <w:rFonts w:ascii="宋体" w:eastAsia="宋体" w:cs="宋体"/>
                <w:color w:val="000000" w:themeColor="text1"/>
                <w:szCs w:val="21"/>
                <w14:textFill>
                  <w14:solidFill>
                    <w14:schemeClr w14:val="tx1"/>
                  </w14:solidFill>
                </w14:textFill>
              </w:rPr>
            </w:pPr>
            <w:r>
              <w:rPr>
                <w:rFonts w:hint="eastAsia" w:ascii="宋体" w:eastAsia="宋体" w:cs="宋体"/>
                <w:color w:val="000000" w:themeColor="text1"/>
                <w:szCs w:val="21"/>
                <w14:textFill>
                  <w14:solidFill>
                    <w14:schemeClr w14:val="tx1"/>
                  </w14:solidFill>
                </w14:textFill>
              </w:rPr>
              <w:t>-</w:t>
            </w:r>
            <w:r>
              <w:rPr>
                <w:rFonts w:ascii="宋体" w:eastAsia="宋体" w:cs="宋体"/>
                <w:color w:val="000000" w:themeColor="text1"/>
                <w:szCs w:val="21"/>
                <w14:textFill>
                  <w14:solidFill>
                    <w14:schemeClr w14:val="tx1"/>
                  </w14:solidFill>
                </w14:textFill>
              </w:rPr>
              <w:t>-</w:t>
            </w:r>
          </w:p>
        </w:tc>
        <w:tc>
          <w:tcPr>
            <w:tcW w:w="1229" w:type="dxa"/>
            <w:tcBorders>
              <w:top w:val="single" w:color="auto" w:sz="4" w:space="0"/>
              <w:left w:val="single" w:color="auto" w:sz="4" w:space="0"/>
              <w:bottom w:val="single" w:color="auto" w:sz="4" w:space="0"/>
              <w:right w:val="single" w:color="auto" w:sz="4" w:space="0"/>
            </w:tcBorders>
            <w:vAlign w:val="center"/>
          </w:tcPr>
          <w:p w14:paraId="0762EE34">
            <w:pPr>
              <w:pStyle w:val="10"/>
              <w:keepNext w:val="0"/>
              <w:keepLines w:val="0"/>
              <w:pageBreakBefore w:val="0"/>
              <w:widowControl w:val="0"/>
              <w:kinsoku/>
              <w:wordWrap/>
              <w:overflowPunct/>
              <w:topLinePunct w:val="0"/>
              <w:autoSpaceDE/>
              <w:autoSpaceDN/>
              <w:bidi w:val="0"/>
              <w:spacing w:line="240" w:lineRule="auto"/>
              <w:jc w:val="center"/>
              <w:textAlignment w:val="auto"/>
              <w:rPr>
                <w:rFonts w:ascii="宋体" w:eastAsia="宋体" w:cs="宋体"/>
                <w:color w:val="000000" w:themeColor="text1"/>
                <w:szCs w:val="21"/>
                <w14:textFill>
                  <w14:solidFill>
                    <w14:schemeClr w14:val="tx1"/>
                  </w14:solidFill>
                </w14:textFill>
              </w:rPr>
            </w:pPr>
            <w:r>
              <w:rPr>
                <w:rFonts w:hint="eastAsia" w:ascii="宋体" w:eastAsia="宋体" w:cs="宋体"/>
                <w:color w:val="000000" w:themeColor="text1"/>
                <w:szCs w:val="21"/>
                <w14:textFill>
                  <w14:solidFill>
                    <w14:schemeClr w14:val="tx1"/>
                  </w14:solidFill>
                </w14:textFill>
              </w:rPr>
              <w:t>-</w:t>
            </w:r>
            <w:r>
              <w:rPr>
                <w:rFonts w:ascii="宋体" w:eastAsia="宋体" w:cs="宋体"/>
                <w:color w:val="000000" w:themeColor="text1"/>
                <w:szCs w:val="21"/>
                <w14:textFill>
                  <w14:solidFill>
                    <w14:schemeClr w14:val="tx1"/>
                  </w14:solidFill>
                </w14:textFill>
              </w:rPr>
              <w:t>-</w:t>
            </w:r>
          </w:p>
        </w:tc>
        <w:tc>
          <w:tcPr>
            <w:tcW w:w="1229" w:type="dxa"/>
            <w:tcBorders>
              <w:top w:val="single" w:color="auto" w:sz="4" w:space="0"/>
              <w:left w:val="single" w:color="auto" w:sz="4" w:space="0"/>
              <w:bottom w:val="single" w:color="auto" w:sz="4" w:space="0"/>
              <w:right w:val="single" w:color="auto" w:sz="4" w:space="0"/>
            </w:tcBorders>
            <w:vAlign w:val="center"/>
          </w:tcPr>
          <w:p w14:paraId="7A9A2B43">
            <w:pPr>
              <w:keepNext w:val="0"/>
              <w:keepLines w:val="0"/>
              <w:pageBreakBefore w:val="0"/>
              <w:widowControl w:val="0"/>
              <w:kinsoku/>
              <w:wordWrap/>
              <w:overflowPunct/>
              <w:topLinePunct w:val="0"/>
              <w:autoSpaceDE/>
              <w:autoSpaceDN/>
              <w:bidi w:val="0"/>
              <w:spacing w:line="30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完成市下达任务</w:t>
            </w:r>
          </w:p>
        </w:tc>
      </w:tr>
      <w:tr w14:paraId="0F1F619C">
        <w:tblPrEx>
          <w:tblCellMar>
            <w:top w:w="0" w:type="dxa"/>
            <w:left w:w="108" w:type="dxa"/>
            <w:bottom w:w="0" w:type="dxa"/>
            <w:right w:w="108" w:type="dxa"/>
          </w:tblCellMar>
        </w:tblPrEx>
        <w:trPr>
          <w:trHeight w:val="481" w:hRule="atLeast"/>
          <w:jc w:val="center"/>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2181B220">
            <w:pPr>
              <w:pStyle w:val="10"/>
              <w:keepNext w:val="0"/>
              <w:keepLines w:val="0"/>
              <w:pageBreakBefore w:val="0"/>
              <w:widowControl w:val="0"/>
              <w:kinsoku/>
              <w:wordWrap/>
              <w:overflowPunct/>
              <w:topLinePunct w:val="0"/>
              <w:autoSpaceDE/>
              <w:autoSpaceDN/>
              <w:bidi w:val="0"/>
              <w:spacing w:line="300" w:lineRule="exact"/>
              <w:ind w:firstLine="420"/>
              <w:jc w:val="center"/>
              <w:textAlignment w:val="auto"/>
              <w:rPr>
                <w:rFonts w:ascii="宋体" w:eastAsia="宋体" w:cs="宋体"/>
                <w:color w:val="000000" w:themeColor="text1"/>
                <w:szCs w:val="21"/>
                <w14:textFill>
                  <w14:solidFill>
                    <w14:schemeClr w14:val="tx1"/>
                  </w14:solidFill>
                </w14:textFill>
              </w:rPr>
            </w:pPr>
          </w:p>
        </w:tc>
        <w:tc>
          <w:tcPr>
            <w:tcW w:w="4394" w:type="dxa"/>
            <w:tcBorders>
              <w:top w:val="single" w:color="auto" w:sz="4" w:space="0"/>
              <w:left w:val="single" w:color="auto" w:sz="4" w:space="0"/>
              <w:bottom w:val="single" w:color="auto" w:sz="4" w:space="0"/>
              <w:right w:val="single" w:color="auto" w:sz="4" w:space="0"/>
            </w:tcBorders>
            <w:vAlign w:val="center"/>
          </w:tcPr>
          <w:p w14:paraId="70F8D323">
            <w:pPr>
              <w:keepNext w:val="0"/>
              <w:keepLines w:val="0"/>
              <w:pageBreakBefore w:val="0"/>
              <w:widowControl w:val="0"/>
              <w:kinsoku/>
              <w:wordWrap/>
              <w:overflowPunct/>
              <w:topLinePunct w:val="0"/>
              <w:autoSpaceDE/>
              <w:autoSpaceDN/>
              <w:bidi w:val="0"/>
              <w:spacing w:line="300" w:lineRule="exact"/>
              <w:jc w:val="left"/>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r>
              <w:rPr>
                <w:rFonts w:ascii="宋体" w:hAnsi="宋体" w:eastAsia="宋体" w:cs="宋体"/>
                <w:color w:val="000000" w:themeColor="text1"/>
                <w:szCs w:val="21"/>
                <w14:textFill>
                  <w14:solidFill>
                    <w14:schemeClr w14:val="tx1"/>
                  </w14:solidFill>
                </w14:textFill>
              </w:rPr>
              <w:t>5</w:t>
            </w:r>
            <w:r>
              <w:rPr>
                <w:rFonts w:hint="eastAsia" w:ascii="宋体" w:hAnsi="宋体" w:eastAsia="宋体" w:cs="宋体"/>
                <w:color w:val="000000" w:themeColor="text1"/>
                <w:szCs w:val="21"/>
                <w14:textFill>
                  <w14:solidFill>
                    <w14:schemeClr w14:val="tx1"/>
                  </w14:solidFill>
                </w14:textFill>
              </w:rPr>
              <w:t>.城市空气质量优良天数比率（%）</w:t>
            </w:r>
          </w:p>
        </w:tc>
        <w:tc>
          <w:tcPr>
            <w:tcW w:w="1228" w:type="dxa"/>
            <w:tcBorders>
              <w:top w:val="single" w:color="auto" w:sz="4" w:space="0"/>
              <w:left w:val="single" w:color="auto" w:sz="4" w:space="0"/>
              <w:bottom w:val="single" w:color="auto" w:sz="4" w:space="0"/>
              <w:right w:val="single" w:color="auto" w:sz="4" w:space="0"/>
            </w:tcBorders>
            <w:vAlign w:val="center"/>
          </w:tcPr>
          <w:p w14:paraId="4998CA4D">
            <w:pPr>
              <w:pStyle w:val="10"/>
              <w:keepNext w:val="0"/>
              <w:keepLines w:val="0"/>
              <w:pageBreakBefore w:val="0"/>
              <w:widowControl w:val="0"/>
              <w:kinsoku/>
              <w:wordWrap/>
              <w:overflowPunct/>
              <w:topLinePunct w:val="0"/>
              <w:autoSpaceDE/>
              <w:autoSpaceDN/>
              <w:bidi w:val="0"/>
              <w:spacing w:line="240" w:lineRule="auto"/>
              <w:jc w:val="center"/>
              <w:textAlignment w:val="auto"/>
              <w:rPr>
                <w:rFonts w:ascii="宋体" w:eastAsia="宋体" w:cs="宋体"/>
                <w:color w:val="000000" w:themeColor="text1"/>
                <w:szCs w:val="21"/>
                <w14:textFill>
                  <w14:solidFill>
                    <w14:schemeClr w14:val="tx1"/>
                  </w14:solidFill>
                </w14:textFill>
              </w:rPr>
            </w:pPr>
            <w:r>
              <w:rPr>
                <w:rFonts w:hint="eastAsia" w:ascii="宋体" w:eastAsia="宋体" w:cs="宋体"/>
                <w:color w:val="000000" w:themeColor="text1"/>
                <w:szCs w:val="21"/>
                <w14:textFill>
                  <w14:solidFill>
                    <w14:schemeClr w14:val="tx1"/>
                  </w14:solidFill>
                </w14:textFill>
              </w:rPr>
              <w:t>-</w:t>
            </w:r>
            <w:r>
              <w:rPr>
                <w:rFonts w:ascii="宋体" w:eastAsia="宋体" w:cs="宋体"/>
                <w:color w:val="000000" w:themeColor="text1"/>
                <w:szCs w:val="21"/>
                <w14:textFill>
                  <w14:solidFill>
                    <w14:schemeClr w14:val="tx1"/>
                  </w14:solidFill>
                </w14:textFill>
              </w:rPr>
              <w:t>-</w:t>
            </w:r>
          </w:p>
        </w:tc>
        <w:tc>
          <w:tcPr>
            <w:tcW w:w="1229" w:type="dxa"/>
            <w:tcBorders>
              <w:top w:val="single" w:color="auto" w:sz="4" w:space="0"/>
              <w:left w:val="single" w:color="auto" w:sz="4" w:space="0"/>
              <w:bottom w:val="single" w:color="auto" w:sz="4" w:space="0"/>
              <w:right w:val="single" w:color="auto" w:sz="4" w:space="0"/>
            </w:tcBorders>
            <w:vAlign w:val="center"/>
          </w:tcPr>
          <w:p w14:paraId="4BFC1AE8">
            <w:pPr>
              <w:pStyle w:val="10"/>
              <w:keepNext w:val="0"/>
              <w:keepLines w:val="0"/>
              <w:pageBreakBefore w:val="0"/>
              <w:widowControl w:val="0"/>
              <w:kinsoku/>
              <w:wordWrap/>
              <w:overflowPunct/>
              <w:topLinePunct w:val="0"/>
              <w:autoSpaceDE/>
              <w:autoSpaceDN/>
              <w:bidi w:val="0"/>
              <w:spacing w:line="240" w:lineRule="auto"/>
              <w:jc w:val="center"/>
              <w:textAlignment w:val="auto"/>
              <w:rPr>
                <w:rFonts w:ascii="宋体" w:eastAsia="宋体" w:cs="宋体"/>
                <w:color w:val="000000" w:themeColor="text1"/>
                <w:szCs w:val="21"/>
                <w14:textFill>
                  <w14:solidFill>
                    <w14:schemeClr w14:val="tx1"/>
                  </w14:solidFill>
                </w14:textFill>
              </w:rPr>
            </w:pPr>
            <w:r>
              <w:rPr>
                <w:rFonts w:hint="eastAsia" w:ascii="宋体" w:eastAsia="宋体" w:cs="宋体"/>
                <w:color w:val="000000" w:themeColor="text1"/>
                <w:szCs w:val="21"/>
                <w14:textFill>
                  <w14:solidFill>
                    <w14:schemeClr w14:val="tx1"/>
                  </w14:solidFill>
                </w14:textFill>
              </w:rPr>
              <w:t>-</w:t>
            </w:r>
            <w:r>
              <w:rPr>
                <w:rFonts w:ascii="宋体" w:eastAsia="宋体" w:cs="宋体"/>
                <w:color w:val="000000" w:themeColor="text1"/>
                <w:szCs w:val="21"/>
                <w14:textFill>
                  <w14:solidFill>
                    <w14:schemeClr w14:val="tx1"/>
                  </w14:solidFill>
                </w14:textFill>
              </w:rPr>
              <w:t>-</w:t>
            </w:r>
          </w:p>
        </w:tc>
        <w:tc>
          <w:tcPr>
            <w:tcW w:w="1229" w:type="dxa"/>
            <w:tcBorders>
              <w:top w:val="single" w:color="auto" w:sz="4" w:space="0"/>
              <w:left w:val="single" w:color="auto" w:sz="4" w:space="0"/>
              <w:bottom w:val="single" w:color="auto" w:sz="4" w:space="0"/>
              <w:right w:val="single" w:color="auto" w:sz="4" w:space="0"/>
            </w:tcBorders>
            <w:vAlign w:val="center"/>
          </w:tcPr>
          <w:p w14:paraId="7AA25914">
            <w:pPr>
              <w:keepNext w:val="0"/>
              <w:keepLines w:val="0"/>
              <w:pageBreakBefore w:val="0"/>
              <w:widowControl w:val="0"/>
              <w:kinsoku/>
              <w:wordWrap/>
              <w:overflowPunct/>
              <w:topLinePunct w:val="0"/>
              <w:autoSpaceDE/>
              <w:autoSpaceDN/>
              <w:bidi w:val="0"/>
              <w:spacing w:line="30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完成市下达任务</w:t>
            </w:r>
          </w:p>
        </w:tc>
      </w:tr>
      <w:tr w14:paraId="5FD0FD04">
        <w:tblPrEx>
          <w:tblCellMar>
            <w:top w:w="0" w:type="dxa"/>
            <w:left w:w="108" w:type="dxa"/>
            <w:bottom w:w="0" w:type="dxa"/>
            <w:right w:w="108" w:type="dxa"/>
          </w:tblCellMar>
        </w:tblPrEx>
        <w:trPr>
          <w:trHeight w:val="481" w:hRule="atLeast"/>
          <w:jc w:val="center"/>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3ED7A06D">
            <w:pPr>
              <w:pStyle w:val="10"/>
              <w:keepNext w:val="0"/>
              <w:keepLines w:val="0"/>
              <w:pageBreakBefore w:val="0"/>
              <w:widowControl w:val="0"/>
              <w:kinsoku/>
              <w:wordWrap/>
              <w:overflowPunct/>
              <w:topLinePunct w:val="0"/>
              <w:autoSpaceDE/>
              <w:autoSpaceDN/>
              <w:bidi w:val="0"/>
              <w:spacing w:line="300" w:lineRule="exact"/>
              <w:ind w:firstLine="420"/>
              <w:jc w:val="center"/>
              <w:textAlignment w:val="auto"/>
              <w:rPr>
                <w:rFonts w:ascii="宋体" w:eastAsia="宋体" w:cs="宋体"/>
                <w:color w:val="000000" w:themeColor="text1"/>
                <w:szCs w:val="21"/>
                <w14:textFill>
                  <w14:solidFill>
                    <w14:schemeClr w14:val="tx1"/>
                  </w14:solidFill>
                </w14:textFill>
              </w:rPr>
            </w:pPr>
          </w:p>
        </w:tc>
        <w:tc>
          <w:tcPr>
            <w:tcW w:w="4394" w:type="dxa"/>
            <w:tcBorders>
              <w:top w:val="single" w:color="auto" w:sz="4" w:space="0"/>
              <w:left w:val="single" w:color="auto" w:sz="4" w:space="0"/>
              <w:bottom w:val="single" w:color="auto" w:sz="4" w:space="0"/>
              <w:right w:val="single" w:color="auto" w:sz="4" w:space="0"/>
            </w:tcBorders>
            <w:vAlign w:val="center"/>
          </w:tcPr>
          <w:p w14:paraId="096E11DE">
            <w:pPr>
              <w:keepNext w:val="0"/>
              <w:keepLines w:val="0"/>
              <w:pageBreakBefore w:val="0"/>
              <w:widowControl w:val="0"/>
              <w:kinsoku/>
              <w:wordWrap/>
              <w:overflowPunct/>
              <w:topLinePunct w:val="0"/>
              <w:autoSpaceDE/>
              <w:autoSpaceDN/>
              <w:bidi w:val="0"/>
              <w:spacing w:line="300" w:lineRule="exact"/>
              <w:jc w:val="left"/>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r>
              <w:rPr>
                <w:rFonts w:ascii="宋体" w:hAnsi="宋体" w:eastAsia="宋体" w:cs="宋体"/>
                <w:color w:val="000000" w:themeColor="text1"/>
                <w:szCs w:val="21"/>
                <w14:textFill>
                  <w14:solidFill>
                    <w14:schemeClr w14:val="tx1"/>
                  </w14:solidFill>
                </w14:textFill>
              </w:rPr>
              <w:t>6</w:t>
            </w:r>
            <w:r>
              <w:rPr>
                <w:rFonts w:hint="eastAsia" w:ascii="宋体" w:hAnsi="宋体" w:eastAsia="宋体" w:cs="宋体"/>
                <w:color w:val="000000" w:themeColor="text1"/>
                <w:szCs w:val="21"/>
                <w14:textFill>
                  <w14:solidFill>
                    <w14:schemeClr w14:val="tx1"/>
                  </w14:solidFill>
                </w14:textFill>
              </w:rPr>
              <w:t>.城市细颗粒物（PM</w:t>
            </w:r>
            <w:r>
              <w:rPr>
                <w:rFonts w:hint="eastAsia" w:ascii="宋体" w:hAnsi="宋体" w:eastAsia="宋体" w:cs="宋体"/>
                <w:color w:val="000000" w:themeColor="text1"/>
                <w:vertAlign w:val="subscript"/>
                <w14:textFill>
                  <w14:solidFill>
                    <w14:schemeClr w14:val="tx1"/>
                  </w14:solidFill>
                </w14:textFill>
              </w:rPr>
              <w:t>2.5</w:t>
            </w: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vertAlign w:val="subscript"/>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浓度降幅（%）</w:t>
            </w:r>
          </w:p>
        </w:tc>
        <w:tc>
          <w:tcPr>
            <w:tcW w:w="1228" w:type="dxa"/>
            <w:tcBorders>
              <w:top w:val="single" w:color="auto" w:sz="4" w:space="0"/>
              <w:left w:val="single" w:color="auto" w:sz="4" w:space="0"/>
              <w:bottom w:val="single" w:color="auto" w:sz="4" w:space="0"/>
              <w:right w:val="single" w:color="auto" w:sz="4" w:space="0"/>
            </w:tcBorders>
            <w:vAlign w:val="center"/>
          </w:tcPr>
          <w:p w14:paraId="34BE9F7B">
            <w:pPr>
              <w:pStyle w:val="10"/>
              <w:keepNext w:val="0"/>
              <w:keepLines w:val="0"/>
              <w:pageBreakBefore w:val="0"/>
              <w:widowControl w:val="0"/>
              <w:kinsoku/>
              <w:wordWrap/>
              <w:overflowPunct/>
              <w:topLinePunct w:val="0"/>
              <w:autoSpaceDE/>
              <w:autoSpaceDN/>
              <w:bidi w:val="0"/>
              <w:spacing w:line="240" w:lineRule="auto"/>
              <w:jc w:val="center"/>
              <w:textAlignment w:val="auto"/>
              <w:rPr>
                <w:rFonts w:ascii="宋体" w:eastAsia="宋体" w:cs="宋体"/>
                <w:color w:val="000000" w:themeColor="text1"/>
                <w:szCs w:val="21"/>
                <w14:textFill>
                  <w14:solidFill>
                    <w14:schemeClr w14:val="tx1"/>
                  </w14:solidFill>
                </w14:textFill>
              </w:rPr>
            </w:pPr>
            <w:r>
              <w:rPr>
                <w:rFonts w:hint="eastAsia" w:ascii="宋体" w:eastAsia="宋体" w:cs="宋体"/>
                <w:color w:val="000000" w:themeColor="text1"/>
                <w:szCs w:val="21"/>
                <w14:textFill>
                  <w14:solidFill>
                    <w14:schemeClr w14:val="tx1"/>
                  </w14:solidFill>
                </w14:textFill>
              </w:rPr>
              <w:t>-</w:t>
            </w:r>
            <w:r>
              <w:rPr>
                <w:rFonts w:ascii="宋体" w:eastAsia="宋体" w:cs="宋体"/>
                <w:color w:val="000000" w:themeColor="text1"/>
                <w:szCs w:val="21"/>
                <w14:textFill>
                  <w14:solidFill>
                    <w14:schemeClr w14:val="tx1"/>
                  </w14:solidFill>
                </w14:textFill>
              </w:rPr>
              <w:t>-</w:t>
            </w:r>
          </w:p>
        </w:tc>
        <w:tc>
          <w:tcPr>
            <w:tcW w:w="1229" w:type="dxa"/>
            <w:tcBorders>
              <w:top w:val="single" w:color="auto" w:sz="4" w:space="0"/>
              <w:left w:val="single" w:color="auto" w:sz="4" w:space="0"/>
              <w:bottom w:val="single" w:color="auto" w:sz="4" w:space="0"/>
              <w:right w:val="single" w:color="auto" w:sz="4" w:space="0"/>
            </w:tcBorders>
            <w:vAlign w:val="center"/>
          </w:tcPr>
          <w:p w14:paraId="569FF9A9">
            <w:pPr>
              <w:pStyle w:val="10"/>
              <w:keepNext w:val="0"/>
              <w:keepLines w:val="0"/>
              <w:pageBreakBefore w:val="0"/>
              <w:widowControl w:val="0"/>
              <w:kinsoku/>
              <w:wordWrap/>
              <w:overflowPunct/>
              <w:topLinePunct w:val="0"/>
              <w:autoSpaceDE/>
              <w:autoSpaceDN/>
              <w:bidi w:val="0"/>
              <w:spacing w:line="240" w:lineRule="auto"/>
              <w:jc w:val="center"/>
              <w:textAlignment w:val="auto"/>
              <w:rPr>
                <w:rFonts w:ascii="宋体" w:eastAsia="宋体" w:cs="宋体"/>
                <w:color w:val="000000" w:themeColor="text1"/>
                <w:szCs w:val="21"/>
                <w14:textFill>
                  <w14:solidFill>
                    <w14:schemeClr w14:val="tx1"/>
                  </w14:solidFill>
                </w14:textFill>
              </w:rPr>
            </w:pPr>
            <w:r>
              <w:rPr>
                <w:rFonts w:hint="eastAsia" w:ascii="宋体" w:eastAsia="宋体" w:cs="宋体"/>
                <w:color w:val="000000" w:themeColor="text1"/>
                <w:szCs w:val="21"/>
                <w14:textFill>
                  <w14:solidFill>
                    <w14:schemeClr w14:val="tx1"/>
                  </w14:solidFill>
                </w14:textFill>
              </w:rPr>
              <w:t>-</w:t>
            </w:r>
            <w:r>
              <w:rPr>
                <w:rFonts w:ascii="宋体" w:eastAsia="宋体" w:cs="宋体"/>
                <w:color w:val="000000" w:themeColor="text1"/>
                <w:szCs w:val="21"/>
                <w14:textFill>
                  <w14:solidFill>
                    <w14:schemeClr w14:val="tx1"/>
                  </w14:solidFill>
                </w14:textFill>
              </w:rPr>
              <w:t>-</w:t>
            </w:r>
          </w:p>
        </w:tc>
        <w:tc>
          <w:tcPr>
            <w:tcW w:w="1229" w:type="dxa"/>
            <w:tcBorders>
              <w:top w:val="single" w:color="auto" w:sz="4" w:space="0"/>
              <w:left w:val="single" w:color="auto" w:sz="4" w:space="0"/>
              <w:bottom w:val="single" w:color="auto" w:sz="4" w:space="0"/>
              <w:right w:val="single" w:color="auto" w:sz="4" w:space="0"/>
            </w:tcBorders>
            <w:vAlign w:val="center"/>
          </w:tcPr>
          <w:p w14:paraId="036D5289">
            <w:pPr>
              <w:keepNext w:val="0"/>
              <w:keepLines w:val="0"/>
              <w:pageBreakBefore w:val="0"/>
              <w:widowControl w:val="0"/>
              <w:kinsoku/>
              <w:wordWrap/>
              <w:overflowPunct/>
              <w:topLinePunct w:val="0"/>
              <w:autoSpaceDE/>
              <w:autoSpaceDN/>
              <w:bidi w:val="0"/>
              <w:spacing w:line="30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完成市下达任务</w:t>
            </w:r>
          </w:p>
        </w:tc>
      </w:tr>
      <w:tr w14:paraId="199E0DD8">
        <w:tblPrEx>
          <w:tblCellMar>
            <w:top w:w="0" w:type="dxa"/>
            <w:left w:w="108" w:type="dxa"/>
            <w:bottom w:w="0" w:type="dxa"/>
            <w:right w:w="108" w:type="dxa"/>
          </w:tblCellMar>
        </w:tblPrEx>
        <w:trPr>
          <w:trHeight w:val="481" w:hRule="atLeast"/>
          <w:jc w:val="center"/>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42497C75">
            <w:pPr>
              <w:pStyle w:val="10"/>
              <w:keepNext w:val="0"/>
              <w:keepLines w:val="0"/>
              <w:pageBreakBefore w:val="0"/>
              <w:widowControl w:val="0"/>
              <w:kinsoku/>
              <w:wordWrap/>
              <w:overflowPunct/>
              <w:topLinePunct w:val="0"/>
              <w:autoSpaceDE/>
              <w:autoSpaceDN/>
              <w:bidi w:val="0"/>
              <w:spacing w:line="300" w:lineRule="exact"/>
              <w:ind w:firstLine="420"/>
              <w:jc w:val="center"/>
              <w:textAlignment w:val="auto"/>
              <w:rPr>
                <w:rFonts w:ascii="宋体" w:eastAsia="宋体" w:cs="宋体"/>
                <w:color w:val="000000" w:themeColor="text1"/>
                <w:szCs w:val="21"/>
                <w14:textFill>
                  <w14:solidFill>
                    <w14:schemeClr w14:val="tx1"/>
                  </w14:solidFill>
                </w14:textFill>
              </w:rPr>
            </w:pPr>
          </w:p>
        </w:tc>
        <w:tc>
          <w:tcPr>
            <w:tcW w:w="4394" w:type="dxa"/>
            <w:tcBorders>
              <w:top w:val="single" w:color="auto" w:sz="4" w:space="0"/>
              <w:left w:val="single" w:color="auto" w:sz="4" w:space="0"/>
              <w:bottom w:val="single" w:color="auto" w:sz="4" w:space="0"/>
              <w:right w:val="single" w:color="auto" w:sz="4" w:space="0"/>
            </w:tcBorders>
            <w:vAlign w:val="center"/>
          </w:tcPr>
          <w:p w14:paraId="1B7A8769">
            <w:pPr>
              <w:pStyle w:val="3"/>
              <w:keepNext w:val="0"/>
              <w:keepLines w:val="0"/>
              <w:pageBreakBefore w:val="0"/>
              <w:widowControl w:val="0"/>
              <w:kinsoku/>
              <w:wordWrap/>
              <w:overflowPunct/>
              <w:topLinePunct w:val="0"/>
              <w:autoSpaceDE/>
              <w:autoSpaceDN/>
              <w:bidi w:val="0"/>
              <w:spacing w:after="0" w:line="300" w:lineRule="exact"/>
              <w:ind w:left="0"/>
              <w:jc w:val="left"/>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ascii="宋体" w:hAnsi="宋体" w:cs="宋体"/>
                <w:color w:val="000000" w:themeColor="text1"/>
                <w:szCs w:val="21"/>
                <w14:textFill>
                  <w14:solidFill>
                    <w14:schemeClr w14:val="tx1"/>
                  </w14:solidFill>
                </w14:textFill>
              </w:rPr>
              <w:t>7</w:t>
            </w:r>
            <w:r>
              <w:rPr>
                <w:rFonts w:hint="eastAsia" w:ascii="宋体" w:hAnsi="宋体" w:cs="宋体"/>
                <w:color w:val="000000" w:themeColor="text1"/>
                <w:szCs w:val="21"/>
                <w14:textFill>
                  <w14:solidFill>
                    <w14:schemeClr w14:val="tx1"/>
                  </w14:solidFill>
                </w14:textFill>
              </w:rPr>
              <w:t>.地下水压采量（立方米）</w:t>
            </w:r>
          </w:p>
        </w:tc>
        <w:tc>
          <w:tcPr>
            <w:tcW w:w="1228" w:type="dxa"/>
            <w:tcBorders>
              <w:top w:val="single" w:color="auto" w:sz="4" w:space="0"/>
              <w:left w:val="single" w:color="auto" w:sz="4" w:space="0"/>
              <w:bottom w:val="single" w:color="auto" w:sz="4" w:space="0"/>
              <w:right w:val="single" w:color="auto" w:sz="4" w:space="0"/>
            </w:tcBorders>
            <w:vAlign w:val="center"/>
          </w:tcPr>
          <w:p w14:paraId="40E0B860">
            <w:pPr>
              <w:pStyle w:val="10"/>
              <w:keepNext w:val="0"/>
              <w:keepLines w:val="0"/>
              <w:pageBreakBefore w:val="0"/>
              <w:widowControl w:val="0"/>
              <w:kinsoku/>
              <w:wordWrap/>
              <w:overflowPunct/>
              <w:topLinePunct w:val="0"/>
              <w:autoSpaceDE/>
              <w:autoSpaceDN/>
              <w:bidi w:val="0"/>
              <w:spacing w:line="240" w:lineRule="auto"/>
              <w:jc w:val="center"/>
              <w:textAlignment w:val="auto"/>
              <w:rPr>
                <w:rFonts w:ascii="宋体" w:eastAsia="宋体" w:cs="宋体"/>
                <w:color w:val="000000" w:themeColor="text1"/>
                <w:szCs w:val="21"/>
                <w14:textFill>
                  <w14:solidFill>
                    <w14:schemeClr w14:val="tx1"/>
                  </w14:solidFill>
                </w14:textFill>
              </w:rPr>
            </w:pPr>
            <w:r>
              <w:rPr>
                <w:rFonts w:hint="eastAsia" w:ascii="宋体" w:eastAsia="宋体" w:cs="宋体"/>
                <w:color w:val="000000" w:themeColor="text1"/>
                <w:szCs w:val="21"/>
                <w14:textFill>
                  <w14:solidFill>
                    <w14:schemeClr w14:val="tx1"/>
                  </w14:solidFill>
                </w14:textFill>
              </w:rPr>
              <w:t>-</w:t>
            </w:r>
            <w:r>
              <w:rPr>
                <w:rFonts w:ascii="宋体" w:eastAsia="宋体" w:cs="宋体"/>
                <w:color w:val="000000" w:themeColor="text1"/>
                <w:szCs w:val="21"/>
                <w14:textFill>
                  <w14:solidFill>
                    <w14:schemeClr w14:val="tx1"/>
                  </w14:solidFill>
                </w14:textFill>
              </w:rPr>
              <w:t>-</w:t>
            </w:r>
          </w:p>
        </w:tc>
        <w:tc>
          <w:tcPr>
            <w:tcW w:w="1229" w:type="dxa"/>
            <w:tcBorders>
              <w:top w:val="single" w:color="auto" w:sz="4" w:space="0"/>
              <w:left w:val="single" w:color="auto" w:sz="4" w:space="0"/>
              <w:bottom w:val="single" w:color="auto" w:sz="4" w:space="0"/>
              <w:right w:val="single" w:color="auto" w:sz="4" w:space="0"/>
            </w:tcBorders>
            <w:vAlign w:val="center"/>
          </w:tcPr>
          <w:p w14:paraId="143C7488">
            <w:pPr>
              <w:pStyle w:val="10"/>
              <w:keepNext w:val="0"/>
              <w:keepLines w:val="0"/>
              <w:pageBreakBefore w:val="0"/>
              <w:widowControl w:val="0"/>
              <w:kinsoku/>
              <w:wordWrap/>
              <w:overflowPunct/>
              <w:topLinePunct w:val="0"/>
              <w:autoSpaceDE/>
              <w:autoSpaceDN/>
              <w:bidi w:val="0"/>
              <w:spacing w:line="240" w:lineRule="auto"/>
              <w:jc w:val="center"/>
              <w:textAlignment w:val="auto"/>
              <w:rPr>
                <w:rFonts w:ascii="宋体" w:eastAsia="宋体" w:cs="宋体"/>
                <w:color w:val="000000" w:themeColor="text1"/>
                <w:szCs w:val="21"/>
                <w14:textFill>
                  <w14:solidFill>
                    <w14:schemeClr w14:val="tx1"/>
                  </w14:solidFill>
                </w14:textFill>
              </w:rPr>
            </w:pPr>
            <w:r>
              <w:rPr>
                <w:rFonts w:hint="eastAsia" w:ascii="宋体" w:eastAsia="宋体" w:cs="宋体"/>
                <w:color w:val="000000" w:themeColor="text1"/>
                <w:szCs w:val="21"/>
                <w14:textFill>
                  <w14:solidFill>
                    <w14:schemeClr w14:val="tx1"/>
                  </w14:solidFill>
                </w14:textFill>
              </w:rPr>
              <w:t>-</w:t>
            </w:r>
            <w:r>
              <w:rPr>
                <w:rFonts w:ascii="宋体" w:eastAsia="宋体" w:cs="宋体"/>
                <w:color w:val="000000" w:themeColor="text1"/>
                <w:szCs w:val="21"/>
                <w14:textFill>
                  <w14:solidFill>
                    <w14:schemeClr w14:val="tx1"/>
                  </w14:solidFill>
                </w14:textFill>
              </w:rPr>
              <w:t>-</w:t>
            </w:r>
          </w:p>
        </w:tc>
        <w:tc>
          <w:tcPr>
            <w:tcW w:w="1229" w:type="dxa"/>
            <w:tcBorders>
              <w:top w:val="single" w:color="auto" w:sz="4" w:space="0"/>
              <w:left w:val="single" w:color="auto" w:sz="4" w:space="0"/>
              <w:bottom w:val="single" w:color="auto" w:sz="4" w:space="0"/>
              <w:right w:val="single" w:color="auto" w:sz="4" w:space="0"/>
            </w:tcBorders>
            <w:vAlign w:val="center"/>
          </w:tcPr>
          <w:p w14:paraId="356EE230">
            <w:pPr>
              <w:keepNext w:val="0"/>
              <w:keepLines w:val="0"/>
              <w:pageBreakBefore w:val="0"/>
              <w:widowControl w:val="0"/>
              <w:kinsoku/>
              <w:wordWrap/>
              <w:overflowPunct/>
              <w:topLinePunct w:val="0"/>
              <w:autoSpaceDE/>
              <w:autoSpaceDN/>
              <w:bidi w:val="0"/>
              <w:spacing w:line="30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完成市下达任务</w:t>
            </w:r>
          </w:p>
        </w:tc>
      </w:tr>
      <w:tr w14:paraId="393C6FB9">
        <w:tblPrEx>
          <w:tblCellMar>
            <w:top w:w="0" w:type="dxa"/>
            <w:left w:w="108" w:type="dxa"/>
            <w:bottom w:w="0" w:type="dxa"/>
            <w:right w:w="108" w:type="dxa"/>
          </w:tblCellMar>
        </w:tblPrEx>
        <w:trPr>
          <w:trHeight w:val="481" w:hRule="atLeast"/>
          <w:jc w:val="center"/>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36A11EDE">
            <w:pPr>
              <w:pStyle w:val="10"/>
              <w:keepNext w:val="0"/>
              <w:keepLines w:val="0"/>
              <w:pageBreakBefore w:val="0"/>
              <w:widowControl w:val="0"/>
              <w:kinsoku/>
              <w:wordWrap/>
              <w:overflowPunct/>
              <w:topLinePunct w:val="0"/>
              <w:autoSpaceDE/>
              <w:autoSpaceDN/>
              <w:bidi w:val="0"/>
              <w:spacing w:line="300" w:lineRule="exact"/>
              <w:ind w:firstLine="420"/>
              <w:jc w:val="center"/>
              <w:textAlignment w:val="auto"/>
              <w:rPr>
                <w:rFonts w:ascii="宋体" w:eastAsia="宋体" w:cs="宋体"/>
                <w:color w:val="000000" w:themeColor="text1"/>
                <w:szCs w:val="21"/>
                <w14:textFill>
                  <w14:solidFill>
                    <w14:schemeClr w14:val="tx1"/>
                  </w14:solidFill>
                </w14:textFill>
              </w:rPr>
            </w:pPr>
          </w:p>
        </w:tc>
        <w:tc>
          <w:tcPr>
            <w:tcW w:w="4394" w:type="dxa"/>
            <w:tcBorders>
              <w:top w:val="single" w:color="auto" w:sz="4" w:space="0"/>
              <w:left w:val="single" w:color="auto" w:sz="4" w:space="0"/>
              <w:bottom w:val="single" w:color="auto" w:sz="4" w:space="0"/>
              <w:right w:val="single" w:color="auto" w:sz="4" w:space="0"/>
            </w:tcBorders>
            <w:vAlign w:val="center"/>
          </w:tcPr>
          <w:p w14:paraId="6F5D9097">
            <w:pPr>
              <w:pStyle w:val="3"/>
              <w:keepNext w:val="0"/>
              <w:keepLines w:val="0"/>
              <w:pageBreakBefore w:val="0"/>
              <w:widowControl w:val="0"/>
              <w:kinsoku/>
              <w:wordWrap/>
              <w:overflowPunct/>
              <w:topLinePunct w:val="0"/>
              <w:autoSpaceDE/>
              <w:autoSpaceDN/>
              <w:bidi w:val="0"/>
              <w:spacing w:after="0" w:line="300" w:lineRule="exact"/>
              <w:ind w:left="0"/>
              <w:jc w:val="left"/>
              <w:textAlignment w:val="auto"/>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18</w:t>
            </w:r>
            <w:r>
              <w:rPr>
                <w:rFonts w:hint="eastAsia" w:ascii="宋体" w:hAnsi="宋体" w:cs="宋体"/>
                <w:color w:val="000000" w:themeColor="text1"/>
                <w:szCs w:val="21"/>
                <w14:textFill>
                  <w14:solidFill>
                    <w14:schemeClr w14:val="tx1"/>
                  </w14:solidFill>
                </w14:textFill>
              </w:rPr>
              <w:t>.达到或好于Ⅲ类水体占地表水比例（%）</w:t>
            </w:r>
          </w:p>
        </w:tc>
        <w:tc>
          <w:tcPr>
            <w:tcW w:w="1228" w:type="dxa"/>
            <w:tcBorders>
              <w:top w:val="single" w:color="auto" w:sz="4" w:space="0"/>
              <w:left w:val="single" w:color="auto" w:sz="4" w:space="0"/>
              <w:bottom w:val="single" w:color="auto" w:sz="4" w:space="0"/>
              <w:right w:val="single" w:color="auto" w:sz="4" w:space="0"/>
            </w:tcBorders>
            <w:vAlign w:val="center"/>
          </w:tcPr>
          <w:p w14:paraId="1112D532">
            <w:pPr>
              <w:pStyle w:val="10"/>
              <w:keepNext w:val="0"/>
              <w:keepLines w:val="0"/>
              <w:pageBreakBefore w:val="0"/>
              <w:widowControl w:val="0"/>
              <w:kinsoku/>
              <w:wordWrap/>
              <w:overflowPunct/>
              <w:topLinePunct w:val="0"/>
              <w:autoSpaceDE/>
              <w:autoSpaceDN/>
              <w:bidi w:val="0"/>
              <w:spacing w:line="240" w:lineRule="auto"/>
              <w:jc w:val="center"/>
              <w:textAlignment w:val="auto"/>
              <w:rPr>
                <w:rFonts w:ascii="宋体" w:eastAsia="宋体" w:cs="宋体"/>
                <w:color w:val="000000" w:themeColor="text1"/>
                <w:szCs w:val="21"/>
                <w14:textFill>
                  <w14:solidFill>
                    <w14:schemeClr w14:val="tx1"/>
                  </w14:solidFill>
                </w14:textFill>
              </w:rPr>
            </w:pPr>
            <w:r>
              <w:rPr>
                <w:rFonts w:hint="eastAsia" w:ascii="宋体" w:eastAsia="宋体" w:cs="宋体"/>
                <w:color w:val="000000" w:themeColor="text1"/>
                <w:szCs w:val="21"/>
                <w14:textFill>
                  <w14:solidFill>
                    <w14:schemeClr w14:val="tx1"/>
                  </w14:solidFill>
                </w14:textFill>
              </w:rPr>
              <w:t>-</w:t>
            </w:r>
            <w:r>
              <w:rPr>
                <w:rFonts w:ascii="宋体" w:eastAsia="宋体" w:cs="宋体"/>
                <w:color w:val="000000" w:themeColor="text1"/>
                <w:szCs w:val="21"/>
                <w14:textFill>
                  <w14:solidFill>
                    <w14:schemeClr w14:val="tx1"/>
                  </w14:solidFill>
                </w14:textFill>
              </w:rPr>
              <w:t>-</w:t>
            </w:r>
          </w:p>
        </w:tc>
        <w:tc>
          <w:tcPr>
            <w:tcW w:w="1229" w:type="dxa"/>
            <w:tcBorders>
              <w:top w:val="single" w:color="auto" w:sz="4" w:space="0"/>
              <w:left w:val="single" w:color="auto" w:sz="4" w:space="0"/>
              <w:bottom w:val="single" w:color="auto" w:sz="4" w:space="0"/>
              <w:right w:val="single" w:color="auto" w:sz="4" w:space="0"/>
            </w:tcBorders>
            <w:vAlign w:val="center"/>
          </w:tcPr>
          <w:p w14:paraId="705AA85D">
            <w:pPr>
              <w:pStyle w:val="10"/>
              <w:keepNext w:val="0"/>
              <w:keepLines w:val="0"/>
              <w:pageBreakBefore w:val="0"/>
              <w:widowControl w:val="0"/>
              <w:kinsoku/>
              <w:wordWrap/>
              <w:overflowPunct/>
              <w:topLinePunct w:val="0"/>
              <w:autoSpaceDE/>
              <w:autoSpaceDN/>
              <w:bidi w:val="0"/>
              <w:spacing w:line="240" w:lineRule="auto"/>
              <w:jc w:val="center"/>
              <w:textAlignment w:val="auto"/>
              <w:rPr>
                <w:rFonts w:ascii="宋体" w:eastAsia="宋体" w:cs="宋体"/>
                <w:color w:val="000000" w:themeColor="text1"/>
                <w:szCs w:val="21"/>
                <w14:textFill>
                  <w14:solidFill>
                    <w14:schemeClr w14:val="tx1"/>
                  </w14:solidFill>
                </w14:textFill>
              </w:rPr>
            </w:pPr>
            <w:r>
              <w:rPr>
                <w:rFonts w:hint="eastAsia" w:ascii="宋体" w:eastAsia="宋体" w:cs="宋体"/>
                <w:color w:val="000000" w:themeColor="text1"/>
                <w:szCs w:val="21"/>
                <w14:textFill>
                  <w14:solidFill>
                    <w14:schemeClr w14:val="tx1"/>
                  </w14:solidFill>
                </w14:textFill>
              </w:rPr>
              <w:t>-</w:t>
            </w:r>
            <w:r>
              <w:rPr>
                <w:rFonts w:ascii="宋体" w:eastAsia="宋体" w:cs="宋体"/>
                <w:color w:val="000000" w:themeColor="text1"/>
                <w:szCs w:val="21"/>
                <w14:textFill>
                  <w14:solidFill>
                    <w14:schemeClr w14:val="tx1"/>
                  </w14:solidFill>
                </w14:textFill>
              </w:rPr>
              <w:t>-</w:t>
            </w:r>
          </w:p>
        </w:tc>
        <w:tc>
          <w:tcPr>
            <w:tcW w:w="1229" w:type="dxa"/>
            <w:tcBorders>
              <w:top w:val="single" w:color="auto" w:sz="4" w:space="0"/>
              <w:left w:val="single" w:color="auto" w:sz="4" w:space="0"/>
              <w:bottom w:val="single" w:color="auto" w:sz="4" w:space="0"/>
              <w:right w:val="single" w:color="auto" w:sz="4" w:space="0"/>
            </w:tcBorders>
            <w:vAlign w:val="center"/>
          </w:tcPr>
          <w:p w14:paraId="73A6F3BF">
            <w:pPr>
              <w:keepNext w:val="0"/>
              <w:keepLines w:val="0"/>
              <w:pageBreakBefore w:val="0"/>
              <w:widowControl w:val="0"/>
              <w:kinsoku/>
              <w:wordWrap/>
              <w:overflowPunct/>
              <w:topLinePunct w:val="0"/>
              <w:autoSpaceDE/>
              <w:autoSpaceDN/>
              <w:bidi w:val="0"/>
              <w:spacing w:line="30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eastAsia="宋体" w:cs="宋体"/>
                <w:color w:val="000000" w:themeColor="text1"/>
                <w:szCs w:val="21"/>
                <w14:textFill>
                  <w14:solidFill>
                    <w14:schemeClr w14:val="tx1"/>
                  </w14:solidFill>
                </w14:textFill>
              </w:rPr>
              <w:t>完成市下达任务</w:t>
            </w:r>
          </w:p>
        </w:tc>
      </w:tr>
      <w:tr w14:paraId="65769F08">
        <w:tblPrEx>
          <w:tblCellMar>
            <w:top w:w="0" w:type="dxa"/>
            <w:left w:w="108" w:type="dxa"/>
            <w:bottom w:w="0" w:type="dxa"/>
            <w:right w:w="108" w:type="dxa"/>
          </w:tblCellMar>
        </w:tblPrEx>
        <w:trPr>
          <w:trHeight w:val="486"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21B3E120">
            <w:pPr>
              <w:pStyle w:val="10"/>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cs="宋体"/>
                <w:color w:val="000000" w:themeColor="text1"/>
                <w:szCs w:val="21"/>
                <w14:textFill>
                  <w14:solidFill>
                    <w14:schemeClr w14:val="tx1"/>
                  </w14:solidFill>
                </w14:textFill>
              </w:rPr>
            </w:pPr>
            <w:r>
              <w:rPr>
                <w:rFonts w:hint="eastAsia" w:ascii="宋体" w:eastAsia="宋体" w:cs="宋体"/>
                <w:color w:val="000000" w:themeColor="text1"/>
                <w:szCs w:val="21"/>
                <w14:textFill>
                  <w14:solidFill>
                    <w14:schemeClr w14:val="tx1"/>
                  </w14:solidFill>
                </w14:textFill>
              </w:rPr>
              <w:t>安全</w:t>
            </w:r>
          </w:p>
          <w:p w14:paraId="31FEE539">
            <w:pPr>
              <w:pStyle w:val="10"/>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cs="宋体"/>
                <w:color w:val="000000" w:themeColor="text1"/>
                <w:szCs w:val="21"/>
                <w14:textFill>
                  <w14:solidFill>
                    <w14:schemeClr w14:val="tx1"/>
                  </w14:solidFill>
                </w14:textFill>
              </w:rPr>
            </w:pPr>
            <w:r>
              <w:rPr>
                <w:rFonts w:hint="eastAsia" w:ascii="宋体" w:eastAsia="宋体" w:cs="宋体"/>
                <w:color w:val="000000" w:themeColor="text1"/>
                <w:szCs w:val="21"/>
                <w14:textFill>
                  <w14:solidFill>
                    <w14:schemeClr w14:val="tx1"/>
                  </w14:solidFill>
                </w14:textFill>
              </w:rPr>
              <w:t>保障</w:t>
            </w:r>
          </w:p>
        </w:tc>
        <w:tc>
          <w:tcPr>
            <w:tcW w:w="4394" w:type="dxa"/>
            <w:tcBorders>
              <w:top w:val="single" w:color="auto" w:sz="4" w:space="0"/>
              <w:left w:val="single" w:color="auto" w:sz="4" w:space="0"/>
              <w:bottom w:val="single" w:color="auto" w:sz="4" w:space="0"/>
              <w:right w:val="single" w:color="auto" w:sz="4" w:space="0"/>
            </w:tcBorders>
            <w:vAlign w:val="center"/>
          </w:tcPr>
          <w:p w14:paraId="662041CE">
            <w:pPr>
              <w:keepNext w:val="0"/>
              <w:keepLines w:val="0"/>
              <w:pageBreakBefore w:val="0"/>
              <w:widowControl w:val="0"/>
              <w:kinsoku/>
              <w:wordWrap/>
              <w:overflowPunct/>
              <w:topLinePunct w:val="0"/>
              <w:autoSpaceDE/>
              <w:autoSpaceDN/>
              <w:bidi w:val="0"/>
              <w:spacing w:line="300" w:lineRule="exact"/>
              <w:jc w:val="left"/>
              <w:textAlignment w:val="auto"/>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19</w:t>
            </w:r>
            <w:r>
              <w:rPr>
                <w:rFonts w:hint="eastAsia" w:ascii="宋体" w:hAnsi="宋体" w:eastAsia="宋体" w:cs="宋体"/>
                <w:color w:val="000000" w:themeColor="text1"/>
                <w:szCs w:val="21"/>
                <w14:textFill>
                  <w14:solidFill>
                    <w14:schemeClr w14:val="tx1"/>
                  </w14:solidFill>
                </w14:textFill>
              </w:rPr>
              <w:t>.粮食综合生产能力（亿斤）</w:t>
            </w:r>
          </w:p>
        </w:tc>
        <w:tc>
          <w:tcPr>
            <w:tcW w:w="1228" w:type="dxa"/>
            <w:tcBorders>
              <w:top w:val="single" w:color="auto" w:sz="4" w:space="0"/>
              <w:left w:val="single" w:color="auto" w:sz="4" w:space="0"/>
              <w:bottom w:val="single" w:color="auto" w:sz="4" w:space="0"/>
              <w:right w:val="single" w:color="auto" w:sz="4" w:space="0"/>
            </w:tcBorders>
            <w:vAlign w:val="center"/>
          </w:tcPr>
          <w:p w14:paraId="47F2CA11">
            <w:pPr>
              <w:pStyle w:val="10"/>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cs="宋体"/>
                <w:color w:val="000000" w:themeColor="text1"/>
                <w:szCs w:val="21"/>
                <w14:textFill>
                  <w14:solidFill>
                    <w14:schemeClr w14:val="tx1"/>
                  </w14:solidFill>
                </w14:textFill>
              </w:rPr>
            </w:pPr>
            <w:r>
              <w:rPr>
                <w:rFonts w:hint="eastAsia" w:ascii="宋体" w:eastAsia="宋体" w:cs="宋体"/>
                <w:color w:val="000000" w:themeColor="text1"/>
                <w:szCs w:val="21"/>
                <w14:textFill>
                  <w14:solidFill>
                    <w14:schemeClr w14:val="tx1"/>
                  </w14:solidFill>
                </w14:textFill>
              </w:rPr>
              <w:t>5</w:t>
            </w:r>
            <w:r>
              <w:rPr>
                <w:rFonts w:ascii="宋体" w:eastAsia="宋体" w:cs="宋体"/>
                <w:color w:val="000000" w:themeColor="text1"/>
                <w:szCs w:val="21"/>
                <w14:textFill>
                  <w14:solidFill>
                    <w14:schemeClr w14:val="tx1"/>
                  </w14:solidFill>
                </w14:textFill>
              </w:rPr>
              <w:t>.32</w:t>
            </w:r>
          </w:p>
        </w:tc>
        <w:tc>
          <w:tcPr>
            <w:tcW w:w="1229" w:type="dxa"/>
            <w:tcBorders>
              <w:top w:val="single" w:color="auto" w:sz="4" w:space="0"/>
              <w:left w:val="single" w:color="auto" w:sz="4" w:space="0"/>
              <w:bottom w:val="single" w:color="auto" w:sz="4" w:space="0"/>
              <w:right w:val="single" w:color="auto" w:sz="4" w:space="0"/>
            </w:tcBorders>
            <w:vAlign w:val="center"/>
          </w:tcPr>
          <w:p w14:paraId="67514F0F">
            <w:pPr>
              <w:pStyle w:val="10"/>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cs="宋体"/>
                <w:color w:val="000000" w:themeColor="text1"/>
                <w:szCs w:val="21"/>
                <w14:textFill>
                  <w14:solidFill>
                    <w14:schemeClr w14:val="tx1"/>
                  </w14:solidFill>
                </w14:textFill>
              </w:rPr>
            </w:pPr>
            <w:r>
              <w:rPr>
                <w:rFonts w:ascii="宋体" w:eastAsia="宋体" w:cs="宋体"/>
                <w:color w:val="000000" w:themeColor="text1"/>
                <w:szCs w:val="21"/>
                <w14:textFill>
                  <w14:solidFill>
                    <w14:schemeClr w14:val="tx1"/>
                  </w14:solidFill>
                </w14:textFill>
              </w:rPr>
              <w:t>5.60</w:t>
            </w:r>
          </w:p>
        </w:tc>
        <w:tc>
          <w:tcPr>
            <w:tcW w:w="1229" w:type="dxa"/>
            <w:tcBorders>
              <w:top w:val="single" w:color="auto" w:sz="4" w:space="0"/>
              <w:left w:val="single" w:color="auto" w:sz="4" w:space="0"/>
              <w:bottom w:val="single" w:color="auto" w:sz="4" w:space="0"/>
              <w:right w:val="single" w:color="auto" w:sz="4" w:space="0"/>
            </w:tcBorders>
            <w:vAlign w:val="center"/>
          </w:tcPr>
          <w:p w14:paraId="2D855F9B">
            <w:pPr>
              <w:pStyle w:val="10"/>
              <w:keepNext w:val="0"/>
              <w:keepLines w:val="0"/>
              <w:pageBreakBefore w:val="0"/>
              <w:widowControl w:val="0"/>
              <w:kinsoku/>
              <w:wordWrap/>
              <w:overflowPunct/>
              <w:topLinePunct w:val="0"/>
              <w:autoSpaceDE/>
              <w:autoSpaceDN/>
              <w:bidi w:val="0"/>
              <w:spacing w:line="300" w:lineRule="exact"/>
              <w:jc w:val="center"/>
              <w:textAlignment w:val="auto"/>
              <w:rPr>
                <w:rFonts w:ascii="宋体" w:eastAsia="宋体" w:cs="宋体"/>
                <w:color w:val="000000" w:themeColor="text1"/>
                <w:szCs w:val="21"/>
                <w14:textFill>
                  <w14:solidFill>
                    <w14:schemeClr w14:val="tx1"/>
                  </w14:solidFill>
                </w14:textFill>
              </w:rPr>
            </w:pPr>
            <w:r>
              <w:rPr>
                <w:rFonts w:ascii="宋体" w:eastAsia="宋体" w:cs="宋体"/>
                <w:color w:val="000000" w:themeColor="text1"/>
                <w:szCs w:val="21"/>
                <w14:textFill>
                  <w14:solidFill>
                    <w14:schemeClr w14:val="tx1"/>
                  </w14:solidFill>
                </w14:textFill>
              </w:rPr>
              <w:t>[</w:t>
            </w:r>
            <w:r>
              <w:rPr>
                <w:rFonts w:hint="eastAsia" w:ascii="宋体" w:eastAsia="宋体" w:cs="宋体"/>
                <w:color w:val="000000" w:themeColor="text1"/>
                <w:szCs w:val="21"/>
                <w:lang w:val="en-US" w:eastAsia="zh-CN"/>
                <w14:textFill>
                  <w14:solidFill>
                    <w14:schemeClr w14:val="tx1"/>
                  </w14:solidFill>
                </w14:textFill>
              </w:rPr>
              <w:t>0.28</w:t>
            </w:r>
            <w:r>
              <w:rPr>
                <w:rFonts w:ascii="宋体" w:eastAsia="宋体" w:cs="宋体"/>
                <w:color w:val="000000" w:themeColor="text1"/>
                <w:szCs w:val="21"/>
                <w14:textFill>
                  <w14:solidFill>
                    <w14:schemeClr w14:val="tx1"/>
                  </w14:solidFill>
                </w14:textFill>
              </w:rPr>
              <w:t>]</w:t>
            </w:r>
          </w:p>
        </w:tc>
      </w:tr>
    </w:tbl>
    <w:p w14:paraId="10C5EF97">
      <w:pPr>
        <w:keepNext w:val="0"/>
        <w:keepLines w:val="0"/>
        <w:pageBreakBefore w:val="0"/>
        <w:widowControl w:val="0"/>
        <w:kinsoku/>
        <w:wordWrap/>
        <w:overflowPunct/>
        <w:topLinePunct w:val="0"/>
        <w:autoSpaceDE/>
        <w:autoSpaceDN/>
        <w:bidi w:val="0"/>
        <w:spacing w:line="600" w:lineRule="exact"/>
        <w:textAlignment w:val="auto"/>
        <w:rPr>
          <w:rFonts w:ascii="仿宋_GB2312" w:hAnsi="Times New Roman" w:eastAsia="仿宋_GB2312" w:cs="宋体"/>
          <w:color w:val="000000" w:themeColor="text1"/>
          <w:kern w:val="0"/>
          <w:sz w:val="32"/>
          <w:szCs w:val="32"/>
          <w14:textFill>
            <w14:solidFill>
              <w14:schemeClr w14:val="tx1"/>
            </w14:solidFill>
          </w14:textFill>
        </w:rPr>
      </w:pPr>
      <w:r>
        <w:rPr>
          <w:rFonts w:hint="eastAsia" w:ascii="仿宋_GB2312" w:hAnsi="Times New Roman" w:eastAsia="仿宋_GB2312" w:cs="宋体"/>
          <w:color w:val="000000" w:themeColor="text1"/>
          <w:kern w:val="0"/>
          <w:sz w:val="32"/>
          <w:szCs w:val="32"/>
          <w14:textFill>
            <w14:solidFill>
              <w14:schemeClr w14:val="tx1"/>
            </w14:solidFill>
          </w14:textFill>
        </w:rPr>
        <w:br w:type="page"/>
      </w:r>
    </w:p>
    <w:bookmarkEnd w:id="123"/>
    <w:p w14:paraId="1B3BFA2F">
      <w:pPr>
        <w:pStyle w:val="5"/>
        <w:keepNext w:val="0"/>
        <w:keepLines w:val="0"/>
        <w:pageBreakBefore w:val="0"/>
        <w:widowControl w:val="0"/>
        <w:kinsoku/>
        <w:wordWrap/>
        <w:overflowPunct/>
        <w:topLinePunct w:val="0"/>
        <w:autoSpaceDE/>
        <w:autoSpaceDN/>
        <w:bidi w:val="0"/>
        <w:adjustRightInd/>
        <w:snapToGrid/>
        <w:spacing w:before="0" w:after="0" w:line="560" w:lineRule="exact"/>
        <w:ind w:firstLine="560" w:firstLineChars="200"/>
        <w:textAlignment w:val="auto"/>
        <w:rPr>
          <w:rFonts w:ascii="黑体" w:hAnsi="黑体" w:eastAsia="黑体"/>
          <w:b w:val="0"/>
          <w:bCs w:val="0"/>
          <w:color w:val="000000" w:themeColor="text1"/>
          <w:sz w:val="28"/>
          <w:szCs w:val="28"/>
          <w14:textFill>
            <w14:solidFill>
              <w14:schemeClr w14:val="tx1"/>
            </w14:solidFill>
          </w14:textFill>
        </w:rPr>
      </w:pPr>
      <w:bookmarkStart w:id="128" w:name="_Toc20669"/>
      <w:bookmarkStart w:id="129" w:name="_Toc15206"/>
      <w:bookmarkStart w:id="130" w:name="_Toc15999"/>
      <w:r>
        <w:rPr>
          <w:rFonts w:hint="eastAsia" w:ascii="黑体" w:hAnsi="黑体" w:eastAsia="黑体"/>
          <w:b w:val="0"/>
          <w:bCs w:val="0"/>
          <w:color w:val="000000" w:themeColor="text1"/>
          <w:sz w:val="28"/>
          <w:szCs w:val="28"/>
          <w14:textFill>
            <w14:solidFill>
              <w14:schemeClr w14:val="tx1"/>
            </w14:solidFill>
          </w14:textFill>
        </w:rPr>
        <w:t>三、远景目标</w:t>
      </w:r>
      <w:bookmarkEnd w:id="128"/>
    </w:p>
    <w:p w14:paraId="28BC6590">
      <w:pPr>
        <w:pStyle w:val="2"/>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hAnsi="仿宋_GB2312"/>
          <w:color w:val="000000" w:themeColor="text1"/>
          <w:sz w:val="28"/>
          <w:szCs w:val="28"/>
          <w14:textFill>
            <w14:solidFill>
              <w14:schemeClr w14:val="tx1"/>
            </w14:solidFill>
          </w14:textFill>
        </w:rPr>
      </w:pPr>
      <w:r>
        <w:rPr>
          <w:rFonts w:hint="eastAsia" w:hAnsi="仿宋_GB2312"/>
          <w:color w:val="000000" w:themeColor="text1"/>
          <w:sz w:val="28"/>
          <w:szCs w:val="28"/>
          <w14:textFill>
            <w14:solidFill>
              <w14:schemeClr w14:val="tx1"/>
            </w14:solidFill>
          </w14:textFill>
        </w:rPr>
        <w:t>展望2035年，清河要达到基本实现社会主义现代化远景目标，全面建成实力清河、魅力清河、活力清河。</w:t>
      </w:r>
    </w:p>
    <w:p w14:paraId="11175D7F">
      <w:pPr>
        <w:pStyle w:val="2"/>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hAnsi="仿宋_GB2312"/>
          <w:color w:val="000000" w:themeColor="text1"/>
          <w:sz w:val="28"/>
          <w:szCs w:val="28"/>
          <w14:textFill>
            <w14:solidFill>
              <w14:schemeClr w14:val="tx1"/>
            </w14:solidFill>
          </w14:textFill>
        </w:rPr>
      </w:pPr>
      <w:r>
        <w:rPr>
          <w:rFonts w:hint="eastAsia" w:hAnsi="仿宋_GB2312"/>
          <w:color w:val="000000" w:themeColor="text1"/>
          <w:sz w:val="28"/>
          <w:szCs w:val="28"/>
          <w14:textFill>
            <w14:solidFill>
              <w14:schemeClr w14:val="tx1"/>
            </w14:solidFill>
          </w14:textFill>
        </w:rPr>
        <w:t>全县综合实力大幅跃升，高质量赶超发展目标基本实现。城市建设不断提升，全面建成冀东南区域中心城市，对周边县市的引领辐射作用进一步加强。现代化产业体系建设全面推进，羊绒、汽车零部件等传统产业高端化全面提升，高新技术产业成为全县主导产业，智能制造、科技创新成为全县高质量发展主引擎，基本建成冀东南区域科创中心。人才生态建设位居全市前列，基本建成冀东南地区人才高地。网格化社会治理体系更加成熟，治理能力现代化基本实现，高标准智慧城市体系覆盖全域。社会事业各项工作全面进步，基本实现教育现代化、均衡化发展，公民综合素质达到新高度。生态环境建设取得重大成效，空气质量优良天数超过全省平均水平，广泛形成绿色生产生活方式，建成天蓝地绿河清的美丽清河。全面深化改革和发展深度融合、高效联动，全面建成开放、包容的营商环境。全面实现城乡融合发展，建成公共服务均等化机制，居民生活水平差距显著缩小，人民生活更加美好。</w:t>
      </w:r>
    </w:p>
    <w:p w14:paraId="13B8B676">
      <w:pPr>
        <w:keepNext w:val="0"/>
        <w:keepLines w:val="0"/>
        <w:pageBreakBefore w:val="0"/>
        <w:widowControl w:val="0"/>
        <w:kinsoku/>
        <w:wordWrap/>
        <w:overflowPunct/>
        <w:topLinePunct w:val="0"/>
        <w:autoSpaceDE/>
        <w:autoSpaceDN/>
        <w:bidi w:val="0"/>
        <w:textAlignment w:val="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br w:type="page"/>
      </w:r>
    </w:p>
    <w:p w14:paraId="70DC6381">
      <w:pPr>
        <w:pStyle w:val="4"/>
        <w:keepNext w:val="0"/>
        <w:keepLines w:val="0"/>
        <w:pageBreakBefore w:val="0"/>
        <w:widowControl w:val="0"/>
        <w:numPr>
          <w:ilvl w:val="0"/>
          <w:numId w:val="2"/>
        </w:numPr>
        <w:kinsoku/>
        <w:wordWrap/>
        <w:overflowPunct/>
        <w:topLinePunct w:val="0"/>
        <w:autoSpaceDE/>
        <w:autoSpaceDN/>
        <w:bidi w:val="0"/>
        <w:spacing w:before="0" w:after="0" w:line="600" w:lineRule="exact"/>
        <w:jc w:val="center"/>
        <w:textAlignment w:val="auto"/>
        <w:rPr>
          <w:rFonts w:ascii="宋体" w:hAnsi="宋体" w:eastAsia="宋体" w:cs="宋体"/>
          <w:color w:val="000000" w:themeColor="text1"/>
          <w:sz w:val="36"/>
          <w:szCs w:val="20"/>
          <w14:textFill>
            <w14:solidFill>
              <w14:schemeClr w14:val="tx1"/>
            </w14:solidFill>
          </w14:textFill>
        </w:rPr>
      </w:pPr>
      <w:bookmarkStart w:id="131" w:name="_Toc28224"/>
      <w:r>
        <w:rPr>
          <w:rFonts w:hint="eastAsia" w:ascii="宋体" w:hAnsi="宋体" w:eastAsia="宋体" w:cs="宋体"/>
          <w:color w:val="000000" w:themeColor="text1"/>
          <w:sz w:val="36"/>
          <w:szCs w:val="20"/>
          <w14:textFill>
            <w14:solidFill>
              <w14:schemeClr w14:val="tx1"/>
            </w14:solidFill>
          </w14:textFill>
        </w:rPr>
        <w:t>“十四五”时期清河高质量赶超发展的重点任务</w:t>
      </w:r>
      <w:bookmarkEnd w:id="129"/>
      <w:bookmarkEnd w:id="130"/>
      <w:bookmarkEnd w:id="131"/>
    </w:p>
    <w:p w14:paraId="6230000C">
      <w:pPr>
        <w:keepNext w:val="0"/>
        <w:keepLines w:val="0"/>
        <w:pageBreakBefore w:val="0"/>
        <w:widowControl w:val="0"/>
        <w:kinsoku/>
        <w:wordWrap/>
        <w:overflowPunct/>
        <w:topLinePunct w:val="0"/>
        <w:autoSpaceDE/>
        <w:autoSpaceDN/>
        <w:bidi w:val="0"/>
        <w:textAlignment w:val="auto"/>
        <w:rPr>
          <w:color w:val="000000" w:themeColor="text1"/>
          <w14:textFill>
            <w14:solidFill>
              <w14:schemeClr w14:val="tx1"/>
            </w14:solidFill>
          </w14:textFill>
        </w:rPr>
      </w:pPr>
    </w:p>
    <w:p w14:paraId="675FDD93">
      <w:pPr>
        <w:pStyle w:val="5"/>
        <w:keepNext w:val="0"/>
        <w:keepLines w:val="0"/>
        <w:pageBreakBefore w:val="0"/>
        <w:widowControl w:val="0"/>
        <w:kinsoku/>
        <w:wordWrap/>
        <w:overflowPunct/>
        <w:topLinePunct w:val="0"/>
        <w:autoSpaceDE/>
        <w:autoSpaceDN/>
        <w:bidi w:val="0"/>
        <w:spacing w:before="0" w:after="0" w:line="560" w:lineRule="exact"/>
        <w:ind w:firstLine="560" w:firstLineChars="200"/>
        <w:textAlignment w:val="auto"/>
        <w:rPr>
          <w:rFonts w:ascii="黑体" w:hAnsi="黑体" w:eastAsia="黑体"/>
          <w:b w:val="0"/>
          <w:bCs w:val="0"/>
          <w:color w:val="000000" w:themeColor="text1"/>
          <w:sz w:val="28"/>
          <w:szCs w:val="28"/>
          <w14:textFill>
            <w14:solidFill>
              <w14:schemeClr w14:val="tx1"/>
            </w14:solidFill>
          </w14:textFill>
        </w:rPr>
      </w:pPr>
      <w:bookmarkStart w:id="132" w:name="_Toc20868"/>
      <w:bookmarkStart w:id="133" w:name="_Toc10523"/>
      <w:bookmarkStart w:id="134" w:name="_Toc8"/>
      <w:bookmarkStart w:id="135" w:name="_Toc14405"/>
      <w:r>
        <w:rPr>
          <w:rFonts w:hint="eastAsia" w:ascii="黑体" w:hAnsi="黑体" w:eastAsia="黑体"/>
          <w:b w:val="0"/>
          <w:bCs w:val="0"/>
          <w:color w:val="000000" w:themeColor="text1"/>
          <w:sz w:val="28"/>
          <w:szCs w:val="28"/>
          <w14:textFill>
            <w14:solidFill>
              <w14:schemeClr w14:val="tx1"/>
            </w14:solidFill>
          </w14:textFill>
        </w:rPr>
        <w:t>一、突出创新引领，塑造高质量赶超发展新优势</w:t>
      </w:r>
      <w:bookmarkEnd w:id="132"/>
      <w:bookmarkEnd w:id="133"/>
      <w:bookmarkEnd w:id="134"/>
      <w:bookmarkEnd w:id="135"/>
    </w:p>
    <w:p w14:paraId="2292D61C">
      <w:pPr>
        <w:keepNext w:val="0"/>
        <w:keepLines w:val="0"/>
        <w:pageBreakBefore w:val="0"/>
        <w:widowControl w:val="0"/>
        <w:kinsoku/>
        <w:wordWrap/>
        <w:overflowPunct/>
        <w:topLinePunct w:val="0"/>
        <w:autoSpaceDE/>
        <w:autoSpaceDN/>
        <w:bidi w:val="0"/>
        <w:spacing w:line="560" w:lineRule="exact"/>
        <w:ind w:firstLine="560" w:firstLineChars="200"/>
        <w:textAlignment w:val="auto"/>
        <w:outlineLvl w:val="2"/>
        <w:rPr>
          <w:rFonts w:ascii="楷体_GB2312" w:hAnsi="楷体_GB2312" w:eastAsia="楷体_GB2312" w:cs="楷体_GB2312"/>
          <w:b w:val="0"/>
          <w:bCs/>
          <w:color w:val="000000" w:themeColor="text1"/>
          <w:kern w:val="0"/>
          <w:sz w:val="28"/>
          <w:szCs w:val="28"/>
          <w14:textFill>
            <w14:solidFill>
              <w14:schemeClr w14:val="tx1"/>
            </w14:solidFill>
          </w14:textFill>
        </w:rPr>
      </w:pPr>
      <w:bookmarkStart w:id="136" w:name="_Toc16747"/>
      <w:r>
        <w:rPr>
          <w:rFonts w:hint="eastAsia" w:ascii="楷体_GB2312" w:hAnsi="楷体_GB2312" w:eastAsia="楷体_GB2312" w:cs="楷体_GB2312"/>
          <w:b w:val="0"/>
          <w:bCs/>
          <w:color w:val="000000" w:themeColor="text1"/>
          <w:kern w:val="0"/>
          <w:sz w:val="28"/>
          <w:szCs w:val="28"/>
          <w14:textFill>
            <w14:solidFill>
              <w14:schemeClr w14:val="tx1"/>
            </w14:solidFill>
          </w14:textFill>
        </w:rPr>
        <w:t>（一）优化创新环境</w:t>
      </w:r>
      <w:bookmarkEnd w:id="136"/>
    </w:p>
    <w:p w14:paraId="3FA49797">
      <w:pPr>
        <w:pStyle w:val="2"/>
        <w:keepNext w:val="0"/>
        <w:keepLines w:val="0"/>
        <w:pageBreakBefore w:val="0"/>
        <w:widowControl w:val="0"/>
        <w:kinsoku/>
        <w:wordWrap/>
        <w:overflowPunct/>
        <w:topLinePunct w:val="0"/>
        <w:autoSpaceDE/>
        <w:autoSpaceDN/>
        <w:bidi w:val="0"/>
        <w:spacing w:after="0" w:line="560" w:lineRule="exact"/>
        <w:ind w:firstLine="560" w:firstLineChars="200"/>
        <w:textAlignment w:val="auto"/>
        <w:rPr>
          <w:rFonts w:hAnsi="Times New Roman" w:cs="宋体"/>
          <w:color w:val="000000" w:themeColor="text1"/>
          <w:kern w:val="0"/>
          <w:sz w:val="28"/>
          <w:szCs w:val="28"/>
          <w14:textFill>
            <w14:solidFill>
              <w14:schemeClr w14:val="tx1"/>
            </w14:solidFill>
          </w14:textFill>
        </w:rPr>
      </w:pPr>
      <w:r>
        <w:rPr>
          <w:rFonts w:hint="eastAsia" w:hAnsi="仿宋_GB2312"/>
          <w:color w:val="000000" w:themeColor="text1"/>
          <w:sz w:val="28"/>
          <w:szCs w:val="28"/>
          <w14:textFill>
            <w14:solidFill>
              <w14:schemeClr w14:val="tx1"/>
            </w14:solidFill>
          </w14:textFill>
        </w:rPr>
        <w:t>探索建立科技创新综合服务体系，推动科技政策与产业、财政、金融等政策有机衔接，打造全链条、专业化科技创新公共服务平台。</w:t>
      </w:r>
      <w:r>
        <w:rPr>
          <w:rFonts w:hint="eastAsia" w:hAnsi="Times New Roman" w:cs="宋体"/>
          <w:color w:val="000000" w:themeColor="text1"/>
          <w:kern w:val="0"/>
          <w:sz w:val="28"/>
          <w:szCs w:val="28"/>
          <w14:textFill>
            <w14:solidFill>
              <w14:schemeClr w14:val="tx1"/>
            </w14:solidFill>
          </w14:textFill>
        </w:rPr>
        <w:t>加大财政科技创新投入，</w:t>
      </w:r>
      <w:r>
        <w:rPr>
          <w:rFonts w:hint="eastAsia" w:hAnsi="仿宋_GB2312"/>
          <w:color w:val="000000" w:themeColor="text1"/>
          <w:sz w:val="28"/>
          <w:szCs w:val="28"/>
          <w14:textFill>
            <w14:solidFill>
              <w14:schemeClr w14:val="tx1"/>
            </w14:solidFill>
          </w14:textFill>
        </w:rPr>
        <w:t>优化财政投入方式，更多运用财政后补助、间接投入等方式带动社会资本投入。加快科技管理职能转变，支持企业扩大研发投入，提高全社会研发支出占生产总值比重。鼓励银行创新金融服务，加大对科技创新资金支持力度。</w:t>
      </w:r>
    </w:p>
    <w:p w14:paraId="57661BC3">
      <w:pPr>
        <w:keepNext w:val="0"/>
        <w:keepLines w:val="0"/>
        <w:pageBreakBefore w:val="0"/>
        <w:widowControl w:val="0"/>
        <w:kinsoku/>
        <w:wordWrap/>
        <w:overflowPunct/>
        <w:topLinePunct w:val="0"/>
        <w:autoSpaceDE/>
        <w:autoSpaceDN/>
        <w:bidi w:val="0"/>
        <w:spacing w:line="560" w:lineRule="exact"/>
        <w:ind w:firstLine="560" w:firstLineChars="200"/>
        <w:textAlignment w:val="auto"/>
        <w:outlineLvl w:val="2"/>
        <w:rPr>
          <w:rFonts w:ascii="楷体_GB2312" w:hAnsi="楷体_GB2312" w:eastAsia="楷体_GB2312" w:cs="楷体_GB2312"/>
          <w:b w:val="0"/>
          <w:bCs/>
          <w:color w:val="000000" w:themeColor="text1"/>
          <w:kern w:val="0"/>
          <w:sz w:val="28"/>
          <w:szCs w:val="28"/>
          <w14:textFill>
            <w14:solidFill>
              <w14:schemeClr w14:val="tx1"/>
            </w14:solidFill>
          </w14:textFill>
        </w:rPr>
      </w:pPr>
      <w:bookmarkStart w:id="137" w:name="_Toc14338"/>
      <w:r>
        <w:rPr>
          <w:rFonts w:hint="eastAsia" w:ascii="楷体_GB2312" w:hAnsi="楷体_GB2312" w:eastAsia="楷体_GB2312" w:cs="楷体_GB2312"/>
          <w:b w:val="0"/>
          <w:bCs/>
          <w:color w:val="000000" w:themeColor="text1"/>
          <w:kern w:val="0"/>
          <w:sz w:val="28"/>
          <w:szCs w:val="28"/>
          <w14:textFill>
            <w14:solidFill>
              <w14:schemeClr w14:val="tx1"/>
            </w14:solidFill>
          </w14:textFill>
        </w:rPr>
        <w:t>（二）健全创新平台</w:t>
      </w:r>
      <w:bookmarkEnd w:id="137"/>
    </w:p>
    <w:p w14:paraId="552150AC">
      <w:pPr>
        <w:keepNext w:val="0"/>
        <w:keepLines w:val="0"/>
        <w:pageBreakBefore w:val="0"/>
        <w:widowControl w:val="0"/>
        <w:kinsoku/>
        <w:wordWrap/>
        <w:overflowPunct/>
        <w:topLinePunct w:val="0"/>
        <w:autoSpaceDE/>
        <w:autoSpaceDN/>
        <w:bidi w:val="0"/>
        <w:spacing w:line="560" w:lineRule="exact"/>
        <w:ind w:firstLine="562" w:firstLineChars="200"/>
        <w:textAlignment w:val="auto"/>
        <w:rPr>
          <w:color w:val="000000" w:themeColor="text1"/>
          <w:sz w:val="28"/>
          <w:szCs w:val="28"/>
          <w14:textFill>
            <w14:solidFill>
              <w14:schemeClr w14:val="tx1"/>
            </w14:solidFill>
          </w14:textFill>
        </w:rPr>
      </w:pPr>
      <w:r>
        <w:rPr>
          <w:rFonts w:hint="eastAsia" w:ascii="仿宋_GB2312" w:hAnsi="Times New Roman" w:eastAsia="仿宋_GB2312" w:cs="宋体"/>
          <w:b/>
          <w:bCs/>
          <w:color w:val="000000" w:themeColor="text1"/>
          <w:kern w:val="0"/>
          <w:sz w:val="28"/>
          <w:szCs w:val="28"/>
          <w14:textFill>
            <w14:solidFill>
              <w14:schemeClr w14:val="tx1"/>
            </w14:solidFill>
          </w14:textFill>
        </w:rPr>
        <w:t>持续完善创新服务平台建设。</w:t>
      </w:r>
      <w:r>
        <w:rPr>
          <w:rFonts w:hint="eastAsia" w:ascii="仿宋_GB2312" w:hAnsi="Times New Roman" w:eastAsia="仿宋_GB2312" w:cs="宋体"/>
          <w:color w:val="000000" w:themeColor="text1"/>
          <w:kern w:val="0"/>
          <w:sz w:val="28"/>
          <w:szCs w:val="28"/>
          <w14:textFill>
            <w14:solidFill>
              <w14:schemeClr w14:val="tx1"/>
            </w14:solidFill>
          </w14:textFill>
        </w:rPr>
        <w:t>推动现有省级创新服务平台规范建设，充分发挥其在技术交流合作、高端人才引进、科技成果转化等方面的优势和作用，形成创新链无缝衔接和互动格局。支持河北株冀、河北昭友等企业申报省级创新中心；谋划建立新产品设计与展示中心，加快打造公共设计服务平台，</w:t>
      </w:r>
      <w:r>
        <w:rPr>
          <w:rFonts w:hint="eastAsia" w:ascii="仿宋_GB2312" w:hAnsi="Times New Roman" w:eastAsia="仿宋_GB2312" w:cs="宋体"/>
          <w:color w:val="000000" w:themeColor="text1"/>
          <w:kern w:val="0"/>
          <w:sz w:val="28"/>
          <w:szCs w:val="28"/>
          <w:lang w:eastAsia="zh-CN"/>
          <w14:textFill>
            <w14:solidFill>
              <w14:schemeClr w14:val="tx1"/>
            </w14:solidFill>
          </w14:textFill>
        </w:rPr>
        <w:t>积极</w:t>
      </w:r>
      <w:r>
        <w:rPr>
          <w:rFonts w:hint="eastAsia" w:ascii="仿宋_GB2312" w:hAnsi="Times New Roman" w:eastAsia="仿宋_GB2312" w:cs="宋体"/>
          <w:color w:val="000000" w:themeColor="text1"/>
          <w:kern w:val="0"/>
          <w:sz w:val="28"/>
          <w:szCs w:val="28"/>
          <w14:textFill>
            <w14:solidFill>
              <w14:schemeClr w14:val="tx1"/>
            </w14:solidFill>
          </w14:textFill>
        </w:rPr>
        <w:t>争创国家纺织服装创意设计试点。</w:t>
      </w:r>
      <w:r>
        <w:rPr>
          <w:rFonts w:hint="eastAsia" w:ascii="仿宋_GB2312" w:hAnsi="仿宋_GB2312" w:eastAsia="仿宋_GB2312" w:cs="仿宋_GB2312"/>
          <w:color w:val="000000" w:themeColor="text1"/>
          <w:sz w:val="28"/>
          <w:szCs w:val="28"/>
          <w14:textFill>
            <w14:solidFill>
              <w14:schemeClr w14:val="tx1"/>
            </w14:solidFill>
          </w14:textFill>
        </w:rPr>
        <w:t>推进汽车及零部件产业技术研究院、羊绒产业技术研究院、汽车零部件产业创新联盟、羊绒产业技术创新联盟等创新平台提升创新及服务能力。</w:t>
      </w:r>
      <w:r>
        <w:rPr>
          <w:rFonts w:hint="eastAsia" w:ascii="仿宋_GB2312" w:hAnsi="Times New Roman" w:eastAsia="仿宋_GB2312" w:cs="宋体"/>
          <w:b/>
          <w:bCs/>
          <w:color w:val="000000" w:themeColor="text1"/>
          <w:kern w:val="0"/>
          <w:sz w:val="28"/>
          <w:szCs w:val="28"/>
          <w14:textFill>
            <w14:solidFill>
              <w14:schemeClr w14:val="tx1"/>
            </w14:solidFill>
          </w14:textFill>
        </w:rPr>
        <w:t>持续做好众创空间建设。</w:t>
      </w:r>
      <w:r>
        <w:rPr>
          <w:rFonts w:hint="eastAsia" w:ascii="仿宋_GB2312" w:hAnsi="Times New Roman" w:eastAsia="仿宋_GB2312" w:cs="宋体"/>
          <w:color w:val="000000" w:themeColor="text1"/>
          <w:kern w:val="0"/>
          <w:sz w:val="28"/>
          <w:szCs w:val="28"/>
          <w14:textFill>
            <w14:solidFill>
              <w14:schemeClr w14:val="tx1"/>
            </w14:solidFill>
          </w14:textFill>
        </w:rPr>
        <w:t>众创空间进一步完善</w:t>
      </w:r>
      <w:r>
        <w:rPr>
          <w:rFonts w:hint="eastAsia" w:ascii="仿宋_GB2312" w:hAnsi="Times New Roman" w:eastAsia="仿宋_GB2312" w:cs="宋体"/>
          <w:color w:val="000000" w:themeColor="text1"/>
          <w:kern w:val="0"/>
          <w:sz w:val="28"/>
          <w:szCs w:val="28"/>
          <w:lang w:eastAsia="zh-CN"/>
          <w14:textFill>
            <w14:solidFill>
              <w14:schemeClr w14:val="tx1"/>
            </w14:solidFill>
          </w14:textFill>
        </w:rPr>
        <w:t>内涵</w:t>
      </w:r>
      <w:r>
        <w:rPr>
          <w:rFonts w:hint="eastAsia" w:ascii="仿宋_GB2312" w:hAnsi="Times New Roman" w:eastAsia="仿宋_GB2312" w:cs="宋体"/>
          <w:color w:val="000000" w:themeColor="text1"/>
          <w:kern w:val="0"/>
          <w:sz w:val="28"/>
          <w:szCs w:val="28"/>
          <w14:textFill>
            <w14:solidFill>
              <w14:schemeClr w14:val="tx1"/>
            </w14:solidFill>
          </w14:textFill>
        </w:rPr>
        <w:t>建设，提高服务能力和水平，为创业者提供完善的创业平台，使入驻创业者能够借力成长，降低创业成本，提高创业成功率。</w:t>
      </w:r>
      <w:r>
        <w:rPr>
          <w:rFonts w:hint="eastAsia" w:ascii="仿宋_GB2312" w:hAnsi="Times New Roman" w:eastAsia="仿宋_GB2312" w:cs="宋体"/>
          <w:b/>
          <w:bCs/>
          <w:color w:val="000000" w:themeColor="text1"/>
          <w:kern w:val="0"/>
          <w:sz w:val="28"/>
          <w:szCs w:val="28"/>
          <w14:textFill>
            <w14:solidFill>
              <w14:schemeClr w14:val="tx1"/>
            </w14:solidFill>
          </w14:textFill>
        </w:rPr>
        <w:t>充分利用京津冀“2+4+46”协同创新平台优势。</w:t>
      </w:r>
      <w:r>
        <w:rPr>
          <w:rFonts w:hint="eastAsia" w:ascii="仿宋_GB2312" w:hAnsi="Times New Roman" w:eastAsia="仿宋_GB2312" w:cs="宋体"/>
          <w:color w:val="000000" w:themeColor="text1"/>
          <w:kern w:val="0"/>
          <w:sz w:val="28"/>
          <w:szCs w:val="28"/>
          <w14:textFill>
            <w14:solidFill>
              <w14:schemeClr w14:val="tx1"/>
            </w14:solidFill>
          </w14:textFill>
        </w:rPr>
        <w:t>全面加强与中科院、</w:t>
      </w:r>
      <w:r>
        <w:rPr>
          <w:rFonts w:hint="eastAsia" w:ascii="仿宋_GB2312" w:hAnsi="仿宋_GB2312" w:eastAsia="仿宋_GB2312" w:cs="仿宋_GB2312"/>
          <w:color w:val="000000" w:themeColor="text1"/>
          <w:sz w:val="28"/>
          <w:szCs w:val="28"/>
          <w14:textFill>
            <w14:solidFill>
              <w14:schemeClr w14:val="tx1"/>
            </w14:solidFill>
          </w14:textFill>
        </w:rPr>
        <w:t>中国科学院大学</w:t>
      </w:r>
      <w:r>
        <w:rPr>
          <w:rFonts w:hint="eastAsia" w:ascii="仿宋_GB2312" w:hAnsi="Times New Roman" w:eastAsia="仿宋_GB2312" w:cs="宋体"/>
          <w:color w:val="000000" w:themeColor="text1"/>
          <w:kern w:val="0"/>
          <w:sz w:val="28"/>
          <w:szCs w:val="28"/>
          <w14:textFill>
            <w14:solidFill>
              <w14:schemeClr w14:val="tx1"/>
            </w14:solidFill>
          </w14:textFill>
        </w:rPr>
        <w:t>等资源的战略合作，重点围绕产业升级、技术研发、新材料共性技术攻关、新技术孵化应用等领域，共建成果转化和创新创业基地，努力打造“政府引、产业用、院校研、基地转”的集成产学研新模式。</w:t>
      </w:r>
    </w:p>
    <w:p w14:paraId="268B3FB6">
      <w:pPr>
        <w:keepNext w:val="0"/>
        <w:keepLines w:val="0"/>
        <w:pageBreakBefore w:val="0"/>
        <w:widowControl w:val="0"/>
        <w:kinsoku/>
        <w:wordWrap/>
        <w:overflowPunct/>
        <w:topLinePunct w:val="0"/>
        <w:autoSpaceDE/>
        <w:autoSpaceDN/>
        <w:bidi w:val="0"/>
        <w:spacing w:line="560" w:lineRule="exact"/>
        <w:ind w:firstLine="560" w:firstLineChars="200"/>
        <w:textAlignment w:val="auto"/>
        <w:outlineLvl w:val="2"/>
        <w:rPr>
          <w:rFonts w:ascii="楷体_GB2312" w:hAnsi="楷体_GB2312" w:eastAsia="楷体_GB2312" w:cs="楷体_GB2312"/>
          <w:b w:val="0"/>
          <w:bCs/>
          <w:color w:val="000000" w:themeColor="text1"/>
          <w:kern w:val="0"/>
          <w:sz w:val="28"/>
          <w:szCs w:val="28"/>
          <w14:textFill>
            <w14:solidFill>
              <w14:schemeClr w14:val="tx1"/>
            </w14:solidFill>
          </w14:textFill>
        </w:rPr>
      </w:pPr>
      <w:bookmarkStart w:id="138" w:name="_Toc1839"/>
      <w:r>
        <w:rPr>
          <w:rFonts w:hint="eastAsia" w:ascii="楷体_GB2312" w:hAnsi="楷体_GB2312" w:eastAsia="楷体_GB2312" w:cs="楷体_GB2312"/>
          <w:b w:val="0"/>
          <w:bCs/>
          <w:color w:val="000000" w:themeColor="text1"/>
          <w:kern w:val="0"/>
          <w:sz w:val="28"/>
          <w:szCs w:val="28"/>
          <w14:textFill>
            <w14:solidFill>
              <w14:schemeClr w14:val="tx1"/>
            </w14:solidFill>
          </w14:textFill>
        </w:rPr>
        <w:t>（三）培育创新主体</w:t>
      </w:r>
      <w:bookmarkEnd w:id="138"/>
    </w:p>
    <w:p w14:paraId="47D105B7">
      <w:pPr>
        <w:pStyle w:val="2"/>
        <w:keepNext w:val="0"/>
        <w:keepLines w:val="0"/>
        <w:pageBreakBefore w:val="0"/>
        <w:widowControl w:val="0"/>
        <w:kinsoku/>
        <w:wordWrap/>
        <w:overflowPunct/>
        <w:topLinePunct w:val="0"/>
        <w:autoSpaceDE/>
        <w:autoSpaceDN/>
        <w:bidi w:val="0"/>
        <w:spacing w:after="0" w:line="560" w:lineRule="exact"/>
        <w:ind w:firstLine="560" w:firstLineChars="200"/>
        <w:textAlignment w:val="auto"/>
        <w:rPr>
          <w:color w:val="000000" w:themeColor="text1"/>
          <w:sz w:val="28"/>
          <w:szCs w:val="28"/>
          <w14:textFill>
            <w14:solidFill>
              <w14:schemeClr w14:val="tx1"/>
            </w14:solidFill>
          </w14:textFill>
        </w:rPr>
      </w:pPr>
      <w:r>
        <w:rPr>
          <w:rFonts w:hint="eastAsia" w:hAnsi="仿宋_GB2312"/>
          <w:color w:val="000000" w:themeColor="text1"/>
          <w:sz w:val="28"/>
          <w:szCs w:val="28"/>
          <w14:textFill>
            <w14:solidFill>
              <w14:schemeClr w14:val="tx1"/>
            </w14:solidFill>
          </w14:textFill>
        </w:rPr>
        <w:t>强化企业创新主体地位，完善鼓励企业技术创新政策，促进各类创新要素向企业聚集。大力培育高新技术企业、科技型中小企业和“专精特新”中小企业。鼓励支持并积极配合企业、专业创新机构申报上级科技创新项目，落实各项科技创新支持政策。支持和引导企业加强与大中专院校及科研机构的交流合作，鼓励企业与高校和科研院所建立“订单式”产学研合作体系，推动产学研协同发展。鼓励引导企业引进科研成果在我县转化。发挥企业家在创新中的关键作用，支持企业牵头组建创新联合体，促进新技术大规模应用和技术迭代。</w:t>
      </w:r>
    </w:p>
    <w:p w14:paraId="2F1D4728">
      <w:pPr>
        <w:keepNext w:val="0"/>
        <w:keepLines w:val="0"/>
        <w:pageBreakBefore w:val="0"/>
        <w:widowControl w:val="0"/>
        <w:kinsoku/>
        <w:wordWrap/>
        <w:overflowPunct/>
        <w:topLinePunct w:val="0"/>
        <w:autoSpaceDE/>
        <w:autoSpaceDN/>
        <w:bidi w:val="0"/>
        <w:spacing w:line="560" w:lineRule="exact"/>
        <w:ind w:firstLine="560" w:firstLineChars="200"/>
        <w:textAlignment w:val="auto"/>
        <w:outlineLvl w:val="2"/>
        <w:rPr>
          <w:rFonts w:ascii="楷体_GB2312" w:hAnsi="楷体_GB2312" w:eastAsia="楷体_GB2312" w:cs="楷体_GB2312"/>
          <w:b w:val="0"/>
          <w:bCs/>
          <w:color w:val="000000" w:themeColor="text1"/>
          <w:kern w:val="0"/>
          <w:sz w:val="28"/>
          <w:szCs w:val="28"/>
          <w14:textFill>
            <w14:solidFill>
              <w14:schemeClr w14:val="tx1"/>
            </w14:solidFill>
          </w14:textFill>
        </w:rPr>
      </w:pPr>
      <w:bookmarkStart w:id="139" w:name="_Toc5949"/>
      <w:r>
        <w:rPr>
          <w:rFonts w:hint="eastAsia" w:ascii="楷体_GB2312" w:hAnsi="楷体_GB2312" w:eastAsia="楷体_GB2312" w:cs="楷体_GB2312"/>
          <w:b w:val="0"/>
          <w:bCs/>
          <w:color w:val="000000" w:themeColor="text1"/>
          <w:kern w:val="0"/>
          <w:sz w:val="28"/>
          <w:szCs w:val="28"/>
          <w14:textFill>
            <w14:solidFill>
              <w14:schemeClr w14:val="tx1"/>
            </w14:solidFill>
          </w14:textFill>
        </w:rPr>
        <w:t>（四）聚集创新人才</w:t>
      </w:r>
      <w:bookmarkEnd w:id="139"/>
    </w:p>
    <w:p w14:paraId="734BBA4C">
      <w:pPr>
        <w:keepNext w:val="0"/>
        <w:keepLines w:val="0"/>
        <w:pageBreakBefore w:val="0"/>
        <w:widowControl w:val="0"/>
        <w:kinsoku/>
        <w:wordWrap/>
        <w:overflowPunct/>
        <w:topLinePunct w:val="0"/>
        <w:autoSpaceDE/>
        <w:autoSpaceDN/>
        <w:bidi w:val="0"/>
        <w:spacing w:line="560" w:lineRule="exact"/>
        <w:ind w:firstLine="562" w:firstLineChars="200"/>
        <w:textAlignment w:val="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完善人才机制体制。</w:t>
      </w:r>
      <w:r>
        <w:rPr>
          <w:rFonts w:hint="eastAsia" w:ascii="仿宋_GB2312" w:hAnsi="仿宋_GB2312" w:eastAsia="仿宋_GB2312" w:cs="仿宋_GB2312"/>
          <w:color w:val="000000" w:themeColor="text1"/>
          <w:sz w:val="28"/>
          <w:szCs w:val="28"/>
          <w14:textFill>
            <w14:solidFill>
              <w14:schemeClr w14:val="tx1"/>
            </w14:solidFill>
          </w14:textFill>
        </w:rPr>
        <w:t>健全人才政策体系，形成“引进、培养、使用、激励、流动、保障”等重要因素配套的人才队伍建设机制。创新“兼职、讲学、咨询、短期服务、技术合作、技术入股”等柔性引才方式。健全以创新能力、质量、实效、贡献为导向的科技人才评价体系；引导企业实行股权、期权、分红等激励措施，全面增强对人才的吸引力和汇聚力。</w:t>
      </w:r>
    </w:p>
    <w:p w14:paraId="13711397">
      <w:pPr>
        <w:keepNext w:val="0"/>
        <w:keepLines w:val="0"/>
        <w:pageBreakBefore w:val="0"/>
        <w:widowControl w:val="0"/>
        <w:kinsoku/>
        <w:wordWrap/>
        <w:overflowPunct/>
        <w:topLinePunct w:val="0"/>
        <w:autoSpaceDE/>
        <w:autoSpaceDN/>
        <w:bidi w:val="0"/>
        <w:spacing w:line="560" w:lineRule="exact"/>
        <w:ind w:firstLine="562" w:firstLineChars="200"/>
        <w:textAlignment w:val="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加大人才引进培育力度。</w:t>
      </w:r>
      <w:r>
        <w:rPr>
          <w:rFonts w:hint="eastAsia" w:ascii="仿宋_GB2312" w:hAnsi="仿宋_GB2312" w:eastAsia="仿宋_GB2312" w:cs="仿宋_GB2312"/>
          <w:color w:val="000000" w:themeColor="text1"/>
          <w:sz w:val="28"/>
          <w:szCs w:val="28"/>
          <w14:textFill>
            <w14:solidFill>
              <w14:schemeClr w14:val="tx1"/>
            </w14:solidFill>
          </w14:textFill>
        </w:rPr>
        <w:t>大力实施“百名高层次人才招引”工程，着力引进“两院”院士、长江学者、国家“杰青”、省“三三三人才工程”专家等高层次科技人才及创新团队。持续开展“清智回清”活动，吸引在外地工作的清河籍各类人才回清发展，创业就业。强化企业家培训力度，采用“引进来”讲学、“走出去”培训等形式，组织县域规模以上企业、成长性企业老板、高管等开展系统培训。</w:t>
      </w:r>
    </w:p>
    <w:p w14:paraId="7B914A8E">
      <w:pPr>
        <w:pStyle w:val="5"/>
        <w:keepNext w:val="0"/>
        <w:keepLines w:val="0"/>
        <w:pageBreakBefore w:val="0"/>
        <w:widowControl w:val="0"/>
        <w:kinsoku/>
        <w:wordWrap/>
        <w:overflowPunct/>
        <w:topLinePunct w:val="0"/>
        <w:autoSpaceDE/>
        <w:autoSpaceDN/>
        <w:bidi w:val="0"/>
        <w:spacing w:before="0" w:after="0" w:line="560" w:lineRule="exact"/>
        <w:ind w:firstLine="560" w:firstLineChars="200"/>
        <w:textAlignment w:val="auto"/>
        <w:rPr>
          <w:rFonts w:ascii="黑体" w:hAnsi="黑体" w:eastAsia="黑体"/>
          <w:b w:val="0"/>
          <w:bCs w:val="0"/>
          <w:color w:val="000000" w:themeColor="text1"/>
          <w:sz w:val="28"/>
          <w:szCs w:val="28"/>
          <w14:textFill>
            <w14:solidFill>
              <w14:schemeClr w14:val="tx1"/>
            </w14:solidFill>
          </w14:textFill>
        </w:rPr>
      </w:pPr>
      <w:bookmarkStart w:id="140" w:name="_Toc21557"/>
      <w:bookmarkStart w:id="141" w:name="_Toc27389"/>
      <w:bookmarkStart w:id="142" w:name="_Toc4750"/>
      <w:bookmarkStart w:id="143" w:name="_Toc21595"/>
      <w:r>
        <w:rPr>
          <w:rFonts w:hint="eastAsia" w:ascii="黑体" w:hAnsi="黑体" w:eastAsia="黑体"/>
          <w:b w:val="0"/>
          <w:bCs w:val="0"/>
          <w:color w:val="000000" w:themeColor="text1"/>
          <w:sz w:val="28"/>
          <w:szCs w:val="28"/>
          <w14:textFill>
            <w14:solidFill>
              <w14:schemeClr w14:val="tx1"/>
            </w14:solidFill>
          </w14:textFill>
        </w:rPr>
        <w:t>二、聚焦服务提质，激发高质量赶超发展新活力</w:t>
      </w:r>
      <w:bookmarkEnd w:id="140"/>
      <w:bookmarkEnd w:id="141"/>
      <w:bookmarkEnd w:id="142"/>
      <w:bookmarkEnd w:id="143"/>
    </w:p>
    <w:p w14:paraId="1A16D227">
      <w:pPr>
        <w:pStyle w:val="2"/>
        <w:keepNext w:val="0"/>
        <w:keepLines w:val="0"/>
        <w:pageBreakBefore w:val="0"/>
        <w:widowControl w:val="0"/>
        <w:kinsoku/>
        <w:wordWrap/>
        <w:overflowPunct/>
        <w:topLinePunct w:val="0"/>
        <w:autoSpaceDE/>
        <w:autoSpaceDN/>
        <w:bidi w:val="0"/>
        <w:spacing w:after="0" w:line="560" w:lineRule="exact"/>
        <w:ind w:firstLine="560" w:firstLineChars="200"/>
        <w:textAlignment w:val="auto"/>
        <w:rPr>
          <w:rFonts w:hAnsi="仿宋_GB2312"/>
          <w:color w:val="000000" w:themeColor="text1"/>
          <w:sz w:val="28"/>
          <w:szCs w:val="28"/>
          <w14:textFill>
            <w14:solidFill>
              <w14:schemeClr w14:val="tx1"/>
            </w14:solidFill>
          </w14:textFill>
        </w:rPr>
      </w:pPr>
      <w:bookmarkStart w:id="144" w:name="_Toc14618"/>
      <w:r>
        <w:rPr>
          <w:rFonts w:hint="eastAsia" w:hAnsi="仿宋_GB2312"/>
          <w:color w:val="000000" w:themeColor="text1"/>
          <w:sz w:val="28"/>
          <w:szCs w:val="28"/>
          <w14:textFill>
            <w14:solidFill>
              <w14:schemeClr w14:val="tx1"/>
            </w14:solidFill>
          </w14:textFill>
        </w:rPr>
        <w:t>围绕打造“全省第一、全国领先”营商环境，对标江浙沪先进地区，制定营商环境攻坚计划，落实“规定动作”，创新“自选动作”，积极营造务实高效的政务环境、公平公正的法治环境、竞争有序的市场环境、大气包容的人文环境，努力把营商环境锻造成为清河的“金字招牌”。</w:t>
      </w:r>
      <w:bookmarkEnd w:id="144"/>
    </w:p>
    <w:p w14:paraId="630A48A0">
      <w:pPr>
        <w:keepNext w:val="0"/>
        <w:keepLines w:val="0"/>
        <w:pageBreakBefore w:val="0"/>
        <w:widowControl w:val="0"/>
        <w:kinsoku/>
        <w:wordWrap/>
        <w:overflowPunct/>
        <w:topLinePunct w:val="0"/>
        <w:autoSpaceDE/>
        <w:autoSpaceDN/>
        <w:bidi w:val="0"/>
        <w:spacing w:line="560" w:lineRule="exact"/>
        <w:ind w:firstLine="560" w:firstLineChars="200"/>
        <w:textAlignment w:val="auto"/>
        <w:outlineLvl w:val="2"/>
        <w:rPr>
          <w:rFonts w:ascii="楷体_GB2312" w:hAnsi="楷体_GB2312" w:eastAsia="楷体_GB2312" w:cs="楷体_GB2312"/>
          <w:b w:val="0"/>
          <w:bCs/>
          <w:color w:val="000000" w:themeColor="text1"/>
          <w:kern w:val="0"/>
          <w:sz w:val="28"/>
          <w:szCs w:val="28"/>
          <w14:textFill>
            <w14:solidFill>
              <w14:schemeClr w14:val="tx1"/>
            </w14:solidFill>
          </w14:textFill>
        </w:rPr>
      </w:pPr>
      <w:bookmarkStart w:id="145" w:name="_Toc11761"/>
      <w:r>
        <w:rPr>
          <w:rFonts w:hint="eastAsia" w:ascii="楷体_GB2312" w:hAnsi="楷体_GB2312" w:eastAsia="楷体_GB2312" w:cs="楷体_GB2312"/>
          <w:b w:val="0"/>
          <w:bCs/>
          <w:color w:val="000000" w:themeColor="text1"/>
          <w:kern w:val="0"/>
          <w:sz w:val="28"/>
          <w:szCs w:val="28"/>
          <w14:textFill>
            <w14:solidFill>
              <w14:schemeClr w14:val="tx1"/>
            </w14:solidFill>
          </w14:textFill>
        </w:rPr>
        <w:t>（一）营造一流服务环境</w:t>
      </w:r>
      <w:bookmarkEnd w:id="145"/>
    </w:p>
    <w:p w14:paraId="61F5C0E4">
      <w:pPr>
        <w:pStyle w:val="2"/>
        <w:keepNext w:val="0"/>
        <w:keepLines w:val="0"/>
        <w:pageBreakBefore w:val="0"/>
        <w:widowControl w:val="0"/>
        <w:kinsoku/>
        <w:wordWrap/>
        <w:overflowPunct/>
        <w:topLinePunct w:val="0"/>
        <w:autoSpaceDE/>
        <w:autoSpaceDN/>
        <w:bidi w:val="0"/>
        <w:spacing w:after="0" w:line="560" w:lineRule="exact"/>
        <w:ind w:firstLine="560" w:firstLineChars="200"/>
        <w:textAlignment w:val="auto"/>
        <w:rPr>
          <w:rFonts w:ascii="Times New Roman" w:hAnsi="Times New Roman" w:eastAsia="仿宋_GB2312" w:cs="Times New Roman"/>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加快“无证明城市”建设，全力推行“妈妈式”服务，</w:t>
      </w:r>
      <w:r>
        <w:rPr>
          <w:rFonts w:hint="eastAsia" w:ascii="仿宋_GB2312" w:hAnsi="仿宋_GB2312" w:eastAsia="仿宋_GB2312" w:cs="仿宋_GB2312"/>
          <w:color w:val="000000" w:themeColor="text1"/>
          <w:kern w:val="0"/>
          <w:sz w:val="28"/>
          <w:szCs w:val="28"/>
          <w14:textFill>
            <w14:solidFill>
              <w14:schemeClr w14:val="tx1"/>
            </w14:solidFill>
          </w14:textFill>
        </w:rPr>
        <w:t>积极推进行政审批改革步伐。</w:t>
      </w:r>
      <w:r>
        <w:rPr>
          <w:rFonts w:hint="eastAsia" w:ascii="仿宋_GB2312" w:hAnsi="Times New Roman" w:eastAsia="仿宋_GB2312" w:cs="宋体"/>
          <w:b/>
          <w:bCs/>
          <w:color w:val="000000" w:themeColor="text1"/>
          <w:kern w:val="0"/>
          <w:sz w:val="28"/>
          <w:szCs w:val="28"/>
          <w14:textFill>
            <w14:solidFill>
              <w14:schemeClr w14:val="tx1"/>
            </w14:solidFill>
          </w14:textFill>
        </w:rPr>
        <w:t>完善审批服务体系。</w:t>
      </w:r>
      <w:r>
        <w:rPr>
          <w:rFonts w:ascii="仿宋_GB2312" w:hAnsi="Times New Roman" w:eastAsia="仿宋_GB2312" w:cs="宋体"/>
          <w:color w:val="000000" w:themeColor="text1"/>
          <w:kern w:val="0"/>
          <w:sz w:val="28"/>
          <w:szCs w:val="28"/>
          <w14:textFill>
            <w14:solidFill>
              <w14:schemeClr w14:val="tx1"/>
            </w14:solidFill>
          </w14:textFill>
        </w:rPr>
        <w:t>打造集行政审批、公共服务、公共资源交易服务和监管、中介服务、政务公开、效能监察等综合服务功能于一体的新型公共服务集合体，建立完善</w:t>
      </w:r>
      <w:r>
        <w:rPr>
          <w:rFonts w:hint="eastAsia" w:ascii="仿宋_GB2312" w:hAnsi="Times New Roman" w:eastAsia="仿宋_GB2312" w:cs="宋体"/>
          <w:color w:val="000000" w:themeColor="text1"/>
          <w:kern w:val="0"/>
          <w:sz w:val="28"/>
          <w:szCs w:val="28"/>
          <w14:textFill>
            <w14:solidFill>
              <w14:schemeClr w14:val="tx1"/>
            </w14:solidFill>
          </w14:textFill>
        </w:rPr>
        <w:t>县</w:t>
      </w:r>
      <w:r>
        <w:rPr>
          <w:rFonts w:ascii="仿宋_GB2312" w:hAnsi="Times New Roman" w:eastAsia="仿宋_GB2312" w:cs="宋体"/>
          <w:color w:val="000000" w:themeColor="text1"/>
          <w:kern w:val="0"/>
          <w:sz w:val="28"/>
          <w:szCs w:val="28"/>
          <w14:textFill>
            <w14:solidFill>
              <w14:schemeClr w14:val="tx1"/>
            </w14:solidFill>
          </w14:textFill>
        </w:rPr>
        <w:t>、镇、村（社区）</w:t>
      </w:r>
      <w:r>
        <w:rPr>
          <w:rFonts w:hint="eastAsia" w:ascii="仿宋_GB2312" w:hAnsi="Times New Roman" w:eastAsia="仿宋_GB2312" w:cs="宋体"/>
          <w:color w:val="000000" w:themeColor="text1"/>
          <w:kern w:val="0"/>
          <w:sz w:val="28"/>
          <w:szCs w:val="28"/>
          <w14:textFill>
            <w14:solidFill>
              <w14:schemeClr w14:val="tx1"/>
            </w14:solidFill>
          </w14:textFill>
        </w:rPr>
        <w:t>三</w:t>
      </w:r>
      <w:r>
        <w:rPr>
          <w:rFonts w:ascii="仿宋_GB2312" w:hAnsi="Times New Roman" w:eastAsia="仿宋_GB2312" w:cs="宋体"/>
          <w:color w:val="000000" w:themeColor="text1"/>
          <w:kern w:val="0"/>
          <w:sz w:val="28"/>
          <w:szCs w:val="28"/>
          <w14:textFill>
            <w14:solidFill>
              <w14:schemeClr w14:val="tx1"/>
            </w14:solidFill>
          </w14:textFill>
        </w:rPr>
        <w:t>级政务服务体系</w:t>
      </w:r>
      <w:r>
        <w:rPr>
          <w:rFonts w:hint="eastAsia" w:ascii="仿宋_GB2312" w:hAnsi="Times New Roman" w:eastAsia="仿宋_GB2312" w:cs="宋体"/>
          <w:color w:val="000000" w:themeColor="text1"/>
          <w:kern w:val="0"/>
          <w:sz w:val="28"/>
          <w:szCs w:val="28"/>
          <w14:textFill>
            <w14:solidFill>
              <w14:schemeClr w14:val="tx1"/>
            </w14:solidFill>
          </w14:textFill>
        </w:rPr>
        <w:t>，推进政务服务一体化</w:t>
      </w:r>
      <w:r>
        <w:rPr>
          <w:rFonts w:ascii="仿宋_GB2312" w:hAnsi="Times New Roman" w:eastAsia="仿宋_GB2312" w:cs="宋体"/>
          <w:color w:val="000000" w:themeColor="text1"/>
          <w:kern w:val="0"/>
          <w:sz w:val="28"/>
          <w:szCs w:val="28"/>
          <w14:textFill>
            <w14:solidFill>
              <w14:schemeClr w14:val="tx1"/>
            </w14:solidFill>
          </w14:textFill>
        </w:rPr>
        <w:t>。</w:t>
      </w:r>
      <w:bookmarkStart w:id="146" w:name="_Toc50063261"/>
      <w:r>
        <w:rPr>
          <w:rFonts w:hint="eastAsia" w:ascii="仿宋_GB2312" w:hAnsi="Times New Roman" w:eastAsia="仿宋_GB2312" w:cs="宋体"/>
          <w:b/>
          <w:bCs/>
          <w:color w:val="000000" w:themeColor="text1"/>
          <w:kern w:val="0"/>
          <w:sz w:val="28"/>
          <w:szCs w:val="28"/>
          <w14:textFill>
            <w14:solidFill>
              <w14:schemeClr w14:val="tx1"/>
            </w14:solidFill>
          </w14:textFill>
        </w:rPr>
        <w:t>优化审批服务流程。</w:t>
      </w:r>
      <w:bookmarkEnd w:id="146"/>
      <w:bookmarkStart w:id="147" w:name="_Toc50063270"/>
      <w:r>
        <w:rPr>
          <w:rFonts w:hint="eastAsia" w:ascii="Times New Roman" w:hAnsi="Times New Roman" w:eastAsia="仿宋_GB2312" w:cs="Times New Roman"/>
          <w:color w:val="000000" w:themeColor="text1"/>
          <w:sz w:val="28"/>
          <w:szCs w:val="28"/>
          <w14:textFill>
            <w14:solidFill>
              <w14:schemeClr w14:val="tx1"/>
            </w14:solidFill>
          </w14:textFill>
        </w:rPr>
        <w:t>打造智慧政务模式，构建</w:t>
      </w:r>
      <w:r>
        <w:rPr>
          <w:rFonts w:ascii="Times New Roman" w:hAnsi="Times New Roman" w:eastAsia="仿宋_GB2312" w:cs="Times New Roman"/>
          <w:color w:val="000000" w:themeColor="text1"/>
          <w:sz w:val="28"/>
          <w:szCs w:val="28"/>
          <w14:textFill>
            <w14:solidFill>
              <w14:schemeClr w14:val="tx1"/>
            </w14:solidFill>
          </w14:textFill>
        </w:rPr>
        <w:t>“</w:t>
      </w:r>
      <w:r>
        <w:rPr>
          <w:rFonts w:hint="eastAsia" w:ascii="Times New Roman" w:hAnsi="Times New Roman" w:eastAsia="仿宋_GB2312" w:cs="Times New Roman"/>
          <w:color w:val="000000" w:themeColor="text1"/>
          <w:sz w:val="28"/>
          <w:szCs w:val="28"/>
          <w14:textFill>
            <w14:solidFill>
              <w14:schemeClr w14:val="tx1"/>
            </w14:solidFill>
          </w14:textFill>
        </w:rPr>
        <w:t>网办为主、自助为辅、大厅为补</w:t>
      </w:r>
      <w:r>
        <w:rPr>
          <w:rFonts w:ascii="Times New Roman" w:hAnsi="Times New Roman" w:eastAsia="仿宋_GB2312" w:cs="Times New Roman"/>
          <w:color w:val="000000" w:themeColor="text1"/>
          <w:sz w:val="28"/>
          <w:szCs w:val="28"/>
          <w14:textFill>
            <w14:solidFill>
              <w14:schemeClr w14:val="tx1"/>
            </w14:solidFill>
          </w14:textFill>
        </w:rPr>
        <w:t>”</w:t>
      </w:r>
      <w:r>
        <w:rPr>
          <w:rFonts w:hint="eastAsia" w:ascii="Times New Roman" w:hAnsi="Times New Roman" w:eastAsia="仿宋_GB2312" w:cs="Times New Roman"/>
          <w:color w:val="000000" w:themeColor="text1"/>
          <w:sz w:val="28"/>
          <w:szCs w:val="28"/>
          <w14:textFill>
            <w14:solidFill>
              <w14:schemeClr w14:val="tx1"/>
            </w14:solidFill>
          </w14:textFill>
        </w:rPr>
        <w:t>的立体服务新格局</w:t>
      </w:r>
      <w:bookmarkEnd w:id="147"/>
      <w:bookmarkStart w:id="148" w:name="_Toc50063276"/>
      <w:r>
        <w:rPr>
          <w:rFonts w:hint="eastAsia" w:ascii="Times New Roman" w:hAnsi="Times New Roman" w:eastAsia="仿宋_GB2312" w:cs="Times New Roman"/>
          <w:color w:val="000000" w:themeColor="text1"/>
          <w:sz w:val="28"/>
          <w:szCs w:val="28"/>
          <w14:textFill>
            <w14:solidFill>
              <w14:schemeClr w14:val="tx1"/>
            </w14:solidFill>
          </w14:textFill>
        </w:rPr>
        <w:t>。在大力实施“三简三全”“全不见面”改革创新的基础上，积极深化“一张网、无证明，一码通、全网办”服务新模式，推进服务数字化、智能化、便捷化。实施新型</w:t>
      </w:r>
      <w:r>
        <w:rPr>
          <w:rFonts w:hint="cs" w:ascii="Times New Roman" w:hAnsi="Times New Roman" w:eastAsia="仿宋_GB2312" w:cs="Times New Roman"/>
          <w:color w:val="000000" w:themeColor="text1"/>
          <w:sz w:val="28"/>
          <w:szCs w:val="28"/>
          <w14:textFill>
            <w14:solidFill>
              <w14:schemeClr w14:val="tx1"/>
            </w14:solidFill>
          </w14:textFill>
        </w:rPr>
        <w:t>“</w:t>
      </w:r>
      <w:r>
        <w:rPr>
          <w:rFonts w:hint="eastAsia" w:ascii="Times New Roman" w:hAnsi="Times New Roman" w:eastAsia="仿宋_GB2312" w:cs="Times New Roman"/>
          <w:color w:val="000000" w:themeColor="text1"/>
          <w:sz w:val="28"/>
          <w:szCs w:val="28"/>
          <w14:textFill>
            <w14:solidFill>
              <w14:schemeClr w14:val="tx1"/>
            </w14:solidFill>
          </w14:textFill>
        </w:rPr>
        <w:t>智慧大厅</w:t>
      </w:r>
      <w:r>
        <w:rPr>
          <w:rFonts w:hint="cs" w:ascii="Times New Roman" w:hAnsi="Times New Roman" w:eastAsia="仿宋_GB2312" w:cs="Times New Roman"/>
          <w:color w:val="000000" w:themeColor="text1"/>
          <w:sz w:val="28"/>
          <w:szCs w:val="28"/>
          <w14:textFill>
            <w14:solidFill>
              <w14:schemeClr w14:val="tx1"/>
            </w14:solidFill>
          </w14:textFill>
        </w:rPr>
        <w:t>”</w:t>
      </w:r>
      <w:r>
        <w:rPr>
          <w:rFonts w:hint="eastAsia" w:ascii="Times New Roman" w:hAnsi="Times New Roman" w:eastAsia="仿宋_GB2312" w:cs="Times New Roman"/>
          <w:color w:val="000000" w:themeColor="text1"/>
          <w:sz w:val="28"/>
          <w:szCs w:val="28"/>
          <w14:textFill>
            <w14:solidFill>
              <w14:schemeClr w14:val="tx1"/>
            </w14:solidFill>
          </w14:textFill>
        </w:rPr>
        <w:t>标杆行动，支撑</w:t>
      </w:r>
      <w:r>
        <w:rPr>
          <w:rFonts w:hint="cs" w:ascii="Times New Roman" w:hAnsi="Times New Roman" w:eastAsia="仿宋_GB2312" w:cs="Times New Roman"/>
          <w:color w:val="000000" w:themeColor="text1"/>
          <w:sz w:val="28"/>
          <w:szCs w:val="28"/>
          <w14:textFill>
            <w14:solidFill>
              <w14:schemeClr w14:val="tx1"/>
            </w14:solidFill>
          </w14:textFill>
        </w:rPr>
        <w:t>“</w:t>
      </w:r>
      <w:r>
        <w:rPr>
          <w:rFonts w:hint="eastAsia" w:ascii="Times New Roman" w:hAnsi="Times New Roman" w:eastAsia="仿宋_GB2312" w:cs="Times New Roman"/>
          <w:color w:val="000000" w:themeColor="text1"/>
          <w:sz w:val="28"/>
          <w:szCs w:val="28"/>
          <w14:textFill>
            <w14:solidFill>
              <w14:schemeClr w14:val="tx1"/>
            </w14:solidFill>
          </w14:textFill>
        </w:rPr>
        <w:t>一门一窗</w:t>
      </w:r>
      <w:r>
        <w:rPr>
          <w:rFonts w:hint="cs" w:ascii="Times New Roman" w:hAnsi="Times New Roman" w:eastAsia="仿宋_GB2312" w:cs="Times New Roman"/>
          <w:color w:val="000000" w:themeColor="text1"/>
          <w:sz w:val="28"/>
          <w:szCs w:val="28"/>
          <w14:textFill>
            <w14:solidFill>
              <w14:schemeClr w14:val="tx1"/>
            </w14:solidFill>
          </w14:textFill>
        </w:rPr>
        <w:t>”</w:t>
      </w:r>
      <w:r>
        <w:rPr>
          <w:rFonts w:hint="eastAsia" w:ascii="Times New Roman" w:hAnsi="Times New Roman" w:eastAsia="仿宋_GB2312" w:cs="Times New Roman"/>
          <w:color w:val="000000" w:themeColor="text1"/>
          <w:sz w:val="28"/>
          <w:szCs w:val="28"/>
          <w14:textFill>
            <w14:solidFill>
              <w14:schemeClr w14:val="tx1"/>
            </w14:solidFill>
          </w14:textFill>
        </w:rPr>
        <w:t>改革纵深发展</w:t>
      </w:r>
      <w:bookmarkEnd w:id="148"/>
      <w:bookmarkStart w:id="149" w:name="_Toc50063282"/>
      <w:r>
        <w:rPr>
          <w:rFonts w:hint="eastAsia" w:ascii="Times New Roman" w:hAnsi="Times New Roman" w:eastAsia="仿宋_GB2312" w:cs="Times New Roman"/>
          <w:color w:val="000000" w:themeColor="text1"/>
          <w:sz w:val="28"/>
          <w:szCs w:val="28"/>
          <w14:textFill>
            <w14:solidFill>
              <w14:schemeClr w14:val="tx1"/>
            </w14:solidFill>
          </w14:textFill>
        </w:rPr>
        <w:t>开放、投诉、评估“三管齐下”，倒逼政务公开转型升级</w:t>
      </w:r>
      <w:bookmarkEnd w:id="149"/>
      <w:r>
        <w:rPr>
          <w:rFonts w:hint="eastAsia" w:ascii="Times New Roman" w:hAnsi="Times New Roman" w:eastAsia="仿宋_GB2312" w:cs="Times New Roman"/>
          <w:color w:val="000000" w:themeColor="text1"/>
          <w:sz w:val="28"/>
          <w:szCs w:val="28"/>
          <w14:textFill>
            <w14:solidFill>
              <w14:schemeClr w14:val="tx1"/>
            </w14:solidFill>
          </w14:textFill>
        </w:rPr>
        <w:t>。</w:t>
      </w:r>
      <w:r>
        <w:rPr>
          <w:rFonts w:hint="eastAsia" w:ascii="Times New Roman" w:hAnsi="Times New Roman" w:eastAsia="仿宋_GB2312" w:cs="Times New Roman"/>
          <w:b/>
          <w:bCs/>
          <w:color w:val="000000" w:themeColor="text1"/>
          <w:sz w:val="28"/>
          <w:szCs w:val="28"/>
          <w14:textFill>
            <w14:solidFill>
              <w14:schemeClr w14:val="tx1"/>
            </w14:solidFill>
          </w14:textFill>
        </w:rPr>
        <w:t>全面构建亲清政商关系和高效服务机制。</w:t>
      </w:r>
      <w:r>
        <w:rPr>
          <w:rFonts w:hint="eastAsia" w:hAnsi="Times New Roman" w:cs="宋体"/>
          <w:color w:val="000000" w:themeColor="text1"/>
          <w:kern w:val="0"/>
          <w:sz w:val="28"/>
          <w:szCs w:val="28"/>
          <w14:textFill>
            <w14:solidFill>
              <w14:schemeClr w14:val="tx1"/>
            </w14:solidFill>
          </w14:textFill>
        </w:rPr>
        <w:t>坚持脚往下走，问需于企、问计于企、问效于企，认真倾听企业诉求，一企一策，精准帮扶。由政府为主导，商会为依托，企业共同参与，加快建立企业融资过桥基金，着力破解企业短期融资难、融资贵难题。及时制定或完善有关扶持民营企业发展相关政策，让每一个在清河创业发展的企业都能享受到政策扶持的阳光雨露，“大树更旺，小树更壮”。</w:t>
      </w:r>
    </w:p>
    <w:p w14:paraId="15C631DF">
      <w:pPr>
        <w:keepNext w:val="0"/>
        <w:keepLines w:val="0"/>
        <w:pageBreakBefore w:val="0"/>
        <w:widowControl w:val="0"/>
        <w:kinsoku/>
        <w:wordWrap/>
        <w:overflowPunct/>
        <w:topLinePunct w:val="0"/>
        <w:autoSpaceDE/>
        <w:autoSpaceDN/>
        <w:bidi w:val="0"/>
        <w:spacing w:line="560" w:lineRule="exact"/>
        <w:ind w:firstLine="560" w:firstLineChars="200"/>
        <w:textAlignment w:val="auto"/>
        <w:outlineLvl w:val="2"/>
        <w:rPr>
          <w:rFonts w:ascii="楷体_GB2312" w:hAnsi="楷体_GB2312" w:eastAsia="楷体_GB2312" w:cs="楷体_GB2312"/>
          <w:b w:val="0"/>
          <w:bCs/>
          <w:color w:val="000000" w:themeColor="text1"/>
          <w:kern w:val="0"/>
          <w:sz w:val="28"/>
          <w:szCs w:val="28"/>
          <w14:textFill>
            <w14:solidFill>
              <w14:schemeClr w14:val="tx1"/>
            </w14:solidFill>
          </w14:textFill>
        </w:rPr>
      </w:pPr>
      <w:bookmarkStart w:id="150" w:name="_Toc3244"/>
      <w:r>
        <w:rPr>
          <w:rFonts w:hint="eastAsia" w:ascii="楷体_GB2312" w:hAnsi="楷体_GB2312" w:eastAsia="楷体_GB2312" w:cs="楷体_GB2312"/>
          <w:b w:val="0"/>
          <w:bCs/>
          <w:color w:val="000000" w:themeColor="text1"/>
          <w:kern w:val="0"/>
          <w:sz w:val="28"/>
          <w:szCs w:val="28"/>
          <w14:textFill>
            <w14:solidFill>
              <w14:schemeClr w14:val="tx1"/>
            </w14:solidFill>
          </w14:textFill>
        </w:rPr>
        <w:t>（二）深化“放管服”改革</w:t>
      </w:r>
      <w:bookmarkEnd w:id="150"/>
    </w:p>
    <w:p w14:paraId="775009B5">
      <w:pPr>
        <w:pStyle w:val="2"/>
        <w:keepNext w:val="0"/>
        <w:keepLines w:val="0"/>
        <w:pageBreakBefore w:val="0"/>
        <w:widowControl w:val="0"/>
        <w:kinsoku/>
        <w:wordWrap/>
        <w:overflowPunct/>
        <w:topLinePunct w:val="0"/>
        <w:autoSpaceDE/>
        <w:autoSpaceDN/>
        <w:bidi w:val="0"/>
        <w:spacing w:after="0" w:line="560" w:lineRule="exact"/>
        <w:ind w:firstLine="560" w:firstLineChars="200"/>
        <w:textAlignment w:val="auto"/>
        <w:rPr>
          <w:rFonts w:hAnsi="Times New Roman" w:cs="宋体"/>
          <w:color w:val="000000" w:themeColor="text1"/>
          <w:kern w:val="0"/>
          <w:sz w:val="28"/>
          <w:szCs w:val="28"/>
          <w14:textFill>
            <w14:solidFill>
              <w14:schemeClr w14:val="tx1"/>
            </w14:solidFill>
          </w14:textFill>
        </w:rPr>
      </w:pPr>
      <w:r>
        <w:rPr>
          <w:rFonts w:hint="eastAsia" w:hAnsi="Times New Roman" w:cs="宋体"/>
          <w:color w:val="000000" w:themeColor="text1"/>
          <w:kern w:val="0"/>
          <w:sz w:val="28"/>
          <w:szCs w:val="28"/>
          <w14:textFill>
            <w14:solidFill>
              <w14:schemeClr w14:val="tx1"/>
            </w14:solidFill>
          </w14:textFill>
        </w:rPr>
        <w:t>着力实施降本减负专项行动，严格落实企业减税降费政策。牢固树立“政务就是服务”的理念，大力推行“现场办、并联办、简化办、网上办、限时办”，为企业提供更加优质高效的服务。加快推进“互联网+政务服务”平台建设及应用，加快县镇村三级网络审批服务平台建设，推动线上线下业务办理深度融合，让“群众少跑腿，数据多跑路”。</w:t>
      </w:r>
    </w:p>
    <w:p w14:paraId="5AF3CC6D">
      <w:pPr>
        <w:keepNext w:val="0"/>
        <w:keepLines w:val="0"/>
        <w:pageBreakBefore w:val="0"/>
        <w:widowControl w:val="0"/>
        <w:kinsoku/>
        <w:wordWrap/>
        <w:overflowPunct/>
        <w:topLinePunct w:val="0"/>
        <w:autoSpaceDE/>
        <w:autoSpaceDN/>
        <w:bidi w:val="0"/>
        <w:spacing w:line="560" w:lineRule="exact"/>
        <w:ind w:firstLine="560" w:firstLineChars="200"/>
        <w:textAlignment w:val="auto"/>
        <w:outlineLvl w:val="2"/>
        <w:rPr>
          <w:rFonts w:ascii="楷体_GB2312" w:hAnsi="楷体_GB2312" w:eastAsia="楷体_GB2312" w:cs="楷体_GB2312"/>
          <w:b w:val="0"/>
          <w:bCs/>
          <w:color w:val="000000" w:themeColor="text1"/>
          <w:kern w:val="0"/>
          <w:sz w:val="28"/>
          <w:szCs w:val="28"/>
          <w14:textFill>
            <w14:solidFill>
              <w14:schemeClr w14:val="tx1"/>
            </w14:solidFill>
          </w14:textFill>
        </w:rPr>
      </w:pPr>
      <w:bookmarkStart w:id="151" w:name="_Toc2924"/>
      <w:bookmarkStart w:id="152" w:name="_Toc9653"/>
      <w:bookmarkStart w:id="153" w:name="_Toc16402"/>
      <w:bookmarkStart w:id="154" w:name="_Toc25018"/>
      <w:r>
        <w:rPr>
          <w:rFonts w:hint="eastAsia" w:ascii="楷体_GB2312" w:hAnsi="楷体_GB2312" w:eastAsia="楷体_GB2312" w:cs="楷体_GB2312"/>
          <w:b w:val="0"/>
          <w:bCs/>
          <w:color w:val="000000" w:themeColor="text1"/>
          <w:kern w:val="0"/>
          <w:sz w:val="28"/>
          <w:szCs w:val="28"/>
          <w14:textFill>
            <w14:solidFill>
              <w14:schemeClr w14:val="tx1"/>
            </w14:solidFill>
          </w14:textFill>
        </w:rPr>
        <w:t>（</w:t>
      </w:r>
      <w:r>
        <w:rPr>
          <w:rFonts w:hint="eastAsia" w:ascii="楷体_GB2312" w:hAnsi="楷体_GB2312" w:eastAsia="楷体_GB2312" w:cs="楷体_GB2312"/>
          <w:b w:val="0"/>
          <w:bCs/>
          <w:color w:val="000000" w:themeColor="text1"/>
          <w:kern w:val="0"/>
          <w:sz w:val="28"/>
          <w:szCs w:val="28"/>
          <w:lang w:val="en-US" w:eastAsia="zh-CN"/>
          <w14:textFill>
            <w14:solidFill>
              <w14:schemeClr w14:val="tx1"/>
            </w14:solidFill>
          </w14:textFill>
        </w:rPr>
        <w:t>三</w:t>
      </w:r>
      <w:r>
        <w:rPr>
          <w:rFonts w:hint="eastAsia" w:ascii="楷体_GB2312" w:hAnsi="楷体_GB2312" w:eastAsia="楷体_GB2312" w:cs="楷体_GB2312"/>
          <w:b w:val="0"/>
          <w:bCs/>
          <w:color w:val="000000" w:themeColor="text1"/>
          <w:kern w:val="0"/>
          <w:sz w:val="28"/>
          <w:szCs w:val="28"/>
          <w14:textFill>
            <w14:solidFill>
              <w14:schemeClr w14:val="tx1"/>
            </w14:solidFill>
          </w14:textFill>
        </w:rPr>
        <w:t>）推进社会信用体系建设</w:t>
      </w:r>
      <w:bookmarkEnd w:id="151"/>
    </w:p>
    <w:p w14:paraId="2F48D0A4">
      <w:pPr>
        <w:pStyle w:val="2"/>
        <w:keepNext w:val="0"/>
        <w:keepLines w:val="0"/>
        <w:pageBreakBefore w:val="0"/>
        <w:widowControl w:val="0"/>
        <w:kinsoku/>
        <w:wordWrap/>
        <w:overflowPunct/>
        <w:topLinePunct w:val="0"/>
        <w:autoSpaceDE/>
        <w:autoSpaceDN/>
        <w:bidi w:val="0"/>
        <w:spacing w:after="0" w:line="560" w:lineRule="exact"/>
        <w:ind w:firstLine="560" w:firstLineChars="200"/>
        <w:textAlignment w:val="auto"/>
        <w:rPr>
          <w:rFonts w:hAnsi="仿宋_GB2312"/>
          <w:color w:val="000000" w:themeColor="text1"/>
          <w:sz w:val="28"/>
          <w:szCs w:val="28"/>
          <w14:textFill>
            <w14:solidFill>
              <w14:schemeClr w14:val="tx1"/>
            </w14:solidFill>
          </w14:textFill>
        </w:rPr>
      </w:pPr>
      <w:r>
        <w:rPr>
          <w:rFonts w:hint="eastAsia" w:hAnsi="仿宋_GB2312"/>
          <w:color w:val="000000" w:themeColor="text1"/>
          <w:sz w:val="28"/>
          <w:szCs w:val="28"/>
          <w14:textFill>
            <w14:solidFill>
              <w14:schemeClr w14:val="tx1"/>
            </w14:solidFill>
          </w14:textFill>
        </w:rPr>
        <w:t>认真落实《邢台市信用体系建设保50争30工作方案》，</w:t>
      </w:r>
      <w:r>
        <w:rPr>
          <w:rFonts w:hint="eastAsia"/>
          <w:color w:val="000000" w:themeColor="text1"/>
          <w:sz w:val="28"/>
          <w:szCs w:val="28"/>
          <w14:textFill>
            <w14:solidFill>
              <w14:schemeClr w14:val="tx1"/>
            </w14:solidFill>
          </w14:textFill>
        </w:rPr>
        <w:t>加快市场监管信用体系建设，制定出台信用积分和信用评价管理办法，推进市场监管领域涉企信息统一归集，</w:t>
      </w:r>
      <w:r>
        <w:rPr>
          <w:rFonts w:hint="eastAsia" w:hAnsi="仿宋_GB2312"/>
          <w:color w:val="000000" w:themeColor="text1"/>
          <w:sz w:val="28"/>
          <w:szCs w:val="28"/>
          <w14:textFill>
            <w14:solidFill>
              <w14:schemeClr w14:val="tx1"/>
            </w14:solidFill>
          </w14:textFill>
        </w:rPr>
        <w:t>完善信用报告使用、企业信用评级标准、政务诚信建设、以信用为基础的新型监管机制，着力构建“一处失信、处处受限”的联合惩戒机制，</w:t>
      </w:r>
      <w:r>
        <w:rPr>
          <w:rFonts w:hint="eastAsia"/>
          <w:color w:val="000000" w:themeColor="text1"/>
          <w:sz w:val="28"/>
          <w:szCs w:val="28"/>
          <w14:textFill>
            <w14:solidFill>
              <w14:schemeClr w14:val="tx1"/>
            </w14:solidFill>
          </w14:textFill>
        </w:rPr>
        <w:t>强化市场主体年报主体责任和违法失信联合惩戒。加强知识产权领域信用体系建设，对知识产权领域严重失信行为开展联合惩戒。积极探索信用体系在市场监管、城市管理、安全生产、社区农村管理等重点领域应用。</w:t>
      </w:r>
    </w:p>
    <w:p w14:paraId="39201A67">
      <w:pPr>
        <w:pStyle w:val="5"/>
        <w:keepNext w:val="0"/>
        <w:keepLines w:val="0"/>
        <w:pageBreakBefore w:val="0"/>
        <w:widowControl w:val="0"/>
        <w:kinsoku/>
        <w:wordWrap/>
        <w:overflowPunct/>
        <w:topLinePunct w:val="0"/>
        <w:autoSpaceDE/>
        <w:autoSpaceDN/>
        <w:bidi w:val="0"/>
        <w:spacing w:before="0" w:after="0" w:line="560" w:lineRule="exact"/>
        <w:ind w:firstLine="560" w:firstLineChars="200"/>
        <w:textAlignment w:val="auto"/>
        <w:rPr>
          <w:rFonts w:ascii="黑体" w:hAnsi="黑体" w:eastAsia="黑体"/>
          <w:b w:val="0"/>
          <w:bCs w:val="0"/>
          <w:color w:val="000000" w:themeColor="text1"/>
          <w:sz w:val="28"/>
          <w:szCs w:val="28"/>
          <w14:textFill>
            <w14:solidFill>
              <w14:schemeClr w14:val="tx1"/>
            </w14:solidFill>
          </w14:textFill>
        </w:rPr>
      </w:pPr>
      <w:bookmarkStart w:id="155" w:name="_Toc25708"/>
      <w:r>
        <w:rPr>
          <w:rFonts w:hint="eastAsia" w:ascii="黑体" w:hAnsi="黑体" w:eastAsia="黑体"/>
          <w:b w:val="0"/>
          <w:bCs w:val="0"/>
          <w:color w:val="000000" w:themeColor="text1"/>
          <w:sz w:val="28"/>
          <w:szCs w:val="28"/>
          <w14:textFill>
            <w14:solidFill>
              <w14:schemeClr w14:val="tx1"/>
            </w14:solidFill>
          </w14:textFill>
        </w:rPr>
        <w:t>三、优化基础设施，提升高质量赶超发展承载力</w:t>
      </w:r>
      <w:bookmarkEnd w:id="152"/>
      <w:bookmarkEnd w:id="153"/>
      <w:bookmarkEnd w:id="154"/>
      <w:bookmarkEnd w:id="155"/>
    </w:p>
    <w:p w14:paraId="0AFD8585">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坚持“线上线下结合、技术与资源共聚、建设与运营一体”，采取“政府主导、企业运作、合作共赢”市场化模式，大力推进“两新一重”，加快新型基础设施建设与传统基础设施建设改造升级。</w:t>
      </w:r>
    </w:p>
    <w:p w14:paraId="0374C65A">
      <w:pPr>
        <w:keepNext w:val="0"/>
        <w:keepLines w:val="0"/>
        <w:pageBreakBefore w:val="0"/>
        <w:widowControl w:val="0"/>
        <w:kinsoku/>
        <w:wordWrap/>
        <w:overflowPunct/>
        <w:topLinePunct w:val="0"/>
        <w:autoSpaceDE/>
        <w:autoSpaceDN/>
        <w:bidi w:val="0"/>
        <w:spacing w:line="560" w:lineRule="exact"/>
        <w:ind w:firstLine="560" w:firstLineChars="200"/>
        <w:textAlignment w:val="auto"/>
        <w:outlineLvl w:val="2"/>
        <w:rPr>
          <w:rFonts w:ascii="楷体_GB2312" w:hAnsi="楷体_GB2312" w:eastAsia="楷体_GB2312" w:cs="楷体_GB2312"/>
          <w:b w:val="0"/>
          <w:bCs/>
          <w:color w:val="000000" w:themeColor="text1"/>
          <w:kern w:val="0"/>
          <w:sz w:val="28"/>
          <w:szCs w:val="28"/>
          <w14:textFill>
            <w14:solidFill>
              <w14:schemeClr w14:val="tx1"/>
            </w14:solidFill>
          </w14:textFill>
        </w:rPr>
      </w:pPr>
      <w:bookmarkStart w:id="156" w:name="_Toc9509"/>
      <w:r>
        <w:rPr>
          <w:rFonts w:hint="eastAsia" w:ascii="楷体_GB2312" w:hAnsi="楷体_GB2312" w:eastAsia="楷体_GB2312" w:cs="楷体_GB2312"/>
          <w:b w:val="0"/>
          <w:bCs/>
          <w:color w:val="000000" w:themeColor="text1"/>
          <w:kern w:val="0"/>
          <w:sz w:val="28"/>
          <w:szCs w:val="28"/>
          <w14:textFill>
            <w14:solidFill>
              <w14:schemeClr w14:val="tx1"/>
            </w14:solidFill>
          </w14:textFill>
        </w:rPr>
        <w:t>（一）统筹推进新型基础设施建设</w:t>
      </w:r>
      <w:bookmarkEnd w:id="156"/>
    </w:p>
    <w:p w14:paraId="10F056F9">
      <w:pPr>
        <w:pStyle w:val="2"/>
        <w:keepNext w:val="0"/>
        <w:keepLines w:val="0"/>
        <w:pageBreakBefore w:val="0"/>
        <w:widowControl w:val="0"/>
        <w:kinsoku/>
        <w:wordWrap/>
        <w:overflowPunct/>
        <w:topLinePunct w:val="0"/>
        <w:autoSpaceDE/>
        <w:autoSpaceDN/>
        <w:bidi w:val="0"/>
        <w:spacing w:after="0" w:line="560" w:lineRule="exact"/>
        <w:ind w:firstLine="560" w:firstLineChars="200"/>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加快完善现代基础设施体系，着力建设信息基础设施，对接省市部署，围</w:t>
      </w:r>
      <w:r>
        <w:rPr>
          <w:rFonts w:hint="eastAsia" w:hAnsi="Times New Roman" w:cs="宋体"/>
          <w:color w:val="000000" w:themeColor="text1"/>
          <w:kern w:val="0"/>
          <w:sz w:val="28"/>
          <w:szCs w:val="28"/>
          <w14:textFill>
            <w14:solidFill>
              <w14:schemeClr w14:val="tx1"/>
            </w14:solidFill>
          </w14:textFill>
        </w:rPr>
        <w:t>绕5G网络、千兆光纤、IPv6等领</w:t>
      </w:r>
      <w:r>
        <w:rPr>
          <w:rFonts w:ascii="Times New Roman" w:hAnsi="Times New Roman" w:cs="Times New Roman"/>
          <w:color w:val="000000" w:themeColor="text1"/>
          <w:sz w:val="28"/>
          <w:szCs w:val="28"/>
          <w14:textFill>
            <w14:solidFill>
              <w14:schemeClr w14:val="tx1"/>
            </w14:solidFill>
          </w14:textFill>
        </w:rPr>
        <w:t>域，提升网络基础设施容量和多业务承载能力。加快信息化重点项目有效应用，加快智慧城市、智慧社区、智慧乡村和电子政务系统建设，</w:t>
      </w:r>
      <w:r>
        <w:rPr>
          <w:rFonts w:hint="eastAsia" w:hAnsi="Times New Roman" w:cs="宋体"/>
          <w:color w:val="000000" w:themeColor="text1"/>
          <w:kern w:val="0"/>
          <w:sz w:val="28"/>
          <w:szCs w:val="28"/>
          <w14:textFill>
            <w14:solidFill>
              <w14:schemeClr w14:val="tx1"/>
            </w14:solidFill>
          </w14:textFill>
        </w:rPr>
        <w:t>重点</w:t>
      </w:r>
      <w:r>
        <w:rPr>
          <w:rFonts w:ascii="Times New Roman" w:hAnsi="Times New Roman" w:cs="Times New Roman"/>
          <w:color w:val="000000" w:themeColor="text1"/>
          <w:sz w:val="28"/>
          <w:szCs w:val="28"/>
          <w14:textFill>
            <w14:solidFill>
              <w14:schemeClr w14:val="tx1"/>
            </w14:solidFill>
          </w14:textFill>
        </w:rPr>
        <w:t>支持传统产业依托工业互联网、大数据、人工智能等开展流程再造，实现智能制造、转型升级。</w:t>
      </w:r>
    </w:p>
    <w:p w14:paraId="17270BD3">
      <w:pPr>
        <w:keepNext w:val="0"/>
        <w:keepLines w:val="0"/>
        <w:pageBreakBefore w:val="0"/>
        <w:widowControl w:val="0"/>
        <w:kinsoku/>
        <w:wordWrap/>
        <w:overflowPunct/>
        <w:topLinePunct w:val="0"/>
        <w:autoSpaceDE/>
        <w:autoSpaceDN/>
        <w:bidi w:val="0"/>
        <w:spacing w:line="560" w:lineRule="exact"/>
        <w:ind w:firstLine="560" w:firstLineChars="200"/>
        <w:textAlignment w:val="auto"/>
        <w:outlineLvl w:val="2"/>
        <w:rPr>
          <w:rFonts w:ascii="楷体_GB2312" w:hAnsi="楷体_GB2312" w:eastAsia="楷体_GB2312" w:cs="楷体_GB2312"/>
          <w:b w:val="0"/>
          <w:bCs/>
          <w:color w:val="000000" w:themeColor="text1"/>
          <w:kern w:val="0"/>
          <w:sz w:val="28"/>
          <w:szCs w:val="28"/>
          <w14:textFill>
            <w14:solidFill>
              <w14:schemeClr w14:val="tx1"/>
            </w14:solidFill>
          </w14:textFill>
        </w:rPr>
      </w:pPr>
      <w:bookmarkStart w:id="157" w:name="_Toc3135"/>
      <w:r>
        <w:rPr>
          <w:rFonts w:hint="eastAsia" w:ascii="楷体_GB2312" w:hAnsi="楷体_GB2312" w:eastAsia="楷体_GB2312" w:cs="楷体_GB2312"/>
          <w:b w:val="0"/>
          <w:bCs/>
          <w:color w:val="000000" w:themeColor="text1"/>
          <w:kern w:val="0"/>
          <w:sz w:val="28"/>
          <w:szCs w:val="28"/>
          <w14:textFill>
            <w14:solidFill>
              <w14:schemeClr w14:val="tx1"/>
            </w14:solidFill>
          </w14:textFill>
        </w:rPr>
        <w:t>（二）构建现代化综合交通体系</w:t>
      </w:r>
      <w:bookmarkEnd w:id="157"/>
    </w:p>
    <w:p w14:paraId="55E23C86">
      <w:pPr>
        <w:pStyle w:val="2"/>
        <w:keepNext w:val="0"/>
        <w:keepLines w:val="0"/>
        <w:pageBreakBefore w:val="0"/>
        <w:widowControl w:val="0"/>
        <w:kinsoku/>
        <w:wordWrap/>
        <w:overflowPunct/>
        <w:topLinePunct w:val="0"/>
        <w:autoSpaceDE/>
        <w:autoSpaceDN/>
        <w:bidi w:val="0"/>
        <w:spacing w:after="0" w:line="560" w:lineRule="exact"/>
        <w:ind w:firstLine="560" w:firstLineChars="200"/>
        <w:textAlignment w:val="auto"/>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着力构建“西联东出、南北贯通”的对外交通体系。依托雄商高铁，并入京津</w:t>
      </w:r>
      <w:r>
        <w:rPr>
          <w:rFonts w:hint="eastAsia" w:hAnsi="Times New Roman" w:cs="宋体"/>
          <w:color w:val="000000" w:themeColor="text1"/>
          <w:kern w:val="0"/>
          <w:sz w:val="28"/>
          <w:szCs w:val="28"/>
          <w14:textFill>
            <w14:solidFill>
              <w14:schemeClr w14:val="tx1"/>
            </w14:solidFill>
          </w14:textFill>
        </w:rPr>
        <w:t>雄1.5小时生活圈</w:t>
      </w:r>
      <w:r>
        <w:rPr>
          <w:rFonts w:hint="eastAsia" w:ascii="Times New Roman" w:hAnsi="Times New Roman" w:cs="Times New Roman"/>
          <w:color w:val="000000" w:themeColor="text1"/>
          <w:sz w:val="28"/>
          <w:szCs w:val="28"/>
          <w14:textFill>
            <w14:solidFill>
              <w14:schemeClr w14:val="tx1"/>
            </w14:solidFill>
          </w14:textFill>
        </w:rPr>
        <w:t>；积极对接邢济客专，打通冀鲁南部通道。</w:t>
      </w:r>
    </w:p>
    <w:p w14:paraId="1DE76D1C">
      <w:pPr>
        <w:keepNext w:val="0"/>
        <w:keepLines w:val="0"/>
        <w:pageBreakBefore w:val="0"/>
        <w:widowControl w:val="0"/>
        <w:kinsoku/>
        <w:wordWrap/>
        <w:overflowPunct/>
        <w:topLinePunct w:val="0"/>
        <w:autoSpaceDE/>
        <w:autoSpaceDN/>
        <w:bidi w:val="0"/>
        <w:spacing w:line="560" w:lineRule="exact"/>
        <w:ind w:firstLine="562" w:firstLineChars="200"/>
        <w:textAlignment w:val="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加快建设雄商高铁清河西站</w:t>
      </w:r>
      <w:r>
        <w:rPr>
          <w:rFonts w:hint="eastAsia" w:ascii="仿宋_GB2312" w:hAnsi="仿宋_GB2312" w:eastAsia="仿宋_GB2312" w:cs="仿宋_GB2312"/>
          <w:color w:val="000000" w:themeColor="text1"/>
          <w:sz w:val="28"/>
          <w:szCs w:val="28"/>
          <w14:textFill>
            <w14:solidFill>
              <w14:schemeClr w14:val="tx1"/>
            </w14:solidFill>
          </w14:textFill>
        </w:rPr>
        <w:t xml:space="preserve">。加快推进高铁片区建设，按照中交通、南会展、东文旅、北康养、西科创五个功能区的规划思路，重点建设国际会展中心、湿地公园、古城风情街、总部办公基地、文创酒店等设施。完善高铁片区路网，建设汽车客运枢纽，谋划实施清河西站至大广高速路口城市快速路项目，提升高铁片区聚集吸引能力和对外辐射能力。  </w:t>
      </w:r>
    </w:p>
    <w:p w14:paraId="17C135FF">
      <w:pPr>
        <w:keepNext w:val="0"/>
        <w:keepLines w:val="0"/>
        <w:pageBreakBefore w:val="0"/>
        <w:widowControl w:val="0"/>
        <w:kinsoku/>
        <w:wordWrap/>
        <w:overflowPunct/>
        <w:topLinePunct w:val="0"/>
        <w:autoSpaceDE/>
        <w:autoSpaceDN/>
        <w:bidi w:val="0"/>
        <w:spacing w:line="560" w:lineRule="exact"/>
        <w:ind w:firstLine="562" w:firstLineChars="200"/>
        <w:textAlignment w:val="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完善公路交通路网</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b/>
          <w:bCs/>
          <w:color w:val="000000" w:themeColor="text1"/>
          <w:sz w:val="28"/>
          <w:szCs w:val="28"/>
          <w14:textFill>
            <w14:solidFill>
              <w14:schemeClr w14:val="tx1"/>
            </w14:solidFill>
          </w14:textFill>
        </w:rPr>
        <w:t>一是构建县域外联大通道，提升交通便捷度。</w:t>
      </w:r>
      <w:r>
        <w:rPr>
          <w:rFonts w:hint="eastAsia" w:ascii="仿宋_GB2312" w:hAnsi="仿宋_GB2312" w:eastAsia="仿宋_GB2312" w:cs="仿宋_GB2312"/>
          <w:color w:val="000000" w:themeColor="text1"/>
          <w:sz w:val="28"/>
          <w:szCs w:val="28"/>
          <w14:textFill>
            <w14:solidFill>
              <w14:schemeClr w14:val="tx1"/>
            </w14:solidFill>
          </w14:textFill>
        </w:rPr>
        <w:t>提升高速公路通达度，积极争取青银高速清河匝道收费站升级和增设青银高速清河东互通项目；谋划实施清临高速支线和清河南、清河西出入口项目；</w:t>
      </w:r>
      <w:r>
        <w:rPr>
          <w:rFonts w:hint="eastAsia" w:ascii="仿宋_GB2312" w:hAnsi="仿宋" w:eastAsia="仿宋_GB2312" w:cs="宋体"/>
          <w:color w:val="000000" w:themeColor="text1"/>
          <w:kern w:val="0"/>
          <w:sz w:val="28"/>
          <w:szCs w:val="28"/>
          <w14:textFill>
            <w14:solidFill>
              <w14:schemeClr w14:val="tx1"/>
            </w14:solidFill>
          </w14:textFill>
        </w:rPr>
        <w:t>谋划建设邢清高速，强化与邢台市区的连接</w:t>
      </w:r>
      <w:r>
        <w:rPr>
          <w:rFonts w:hint="eastAsia" w:ascii="仿宋_GB2312" w:hAnsi="仿宋_GB2312" w:eastAsia="仿宋_GB2312" w:cs="仿宋_GB2312"/>
          <w:color w:val="000000" w:themeColor="text1"/>
          <w:sz w:val="28"/>
          <w:szCs w:val="28"/>
          <w14:textFill>
            <w14:solidFill>
              <w14:schemeClr w14:val="tx1"/>
            </w14:solidFill>
          </w14:textFill>
        </w:rPr>
        <w:t>。推进县城外环线路建设，提高通行效率，实施S224省道清河绕城段项目，建成县城南环；谋划S224省道东移项目，建设县城东环。</w:t>
      </w:r>
      <w:r>
        <w:rPr>
          <w:rFonts w:hint="eastAsia" w:ascii="仿宋_GB2312" w:hAnsi="仿宋_GB2312" w:eastAsia="仿宋_GB2312" w:cs="仿宋_GB2312"/>
          <w:b/>
          <w:bCs/>
          <w:color w:val="000000" w:themeColor="text1"/>
          <w:sz w:val="28"/>
          <w:szCs w:val="28"/>
          <w14:textFill>
            <w14:solidFill>
              <w14:schemeClr w14:val="tx1"/>
            </w14:solidFill>
          </w14:textFill>
        </w:rPr>
        <w:t>二是推动农村公路提质升级。</w:t>
      </w:r>
      <w:r>
        <w:rPr>
          <w:rFonts w:hint="eastAsia" w:ascii="仿宋_GB2312" w:hAnsi="仿宋_GB2312" w:eastAsia="仿宋_GB2312" w:cs="仿宋_GB2312"/>
          <w:color w:val="000000" w:themeColor="text1"/>
          <w:sz w:val="28"/>
          <w:szCs w:val="28"/>
          <w14:textFill>
            <w14:solidFill>
              <w14:schemeClr w14:val="tx1"/>
            </w14:solidFill>
          </w14:textFill>
        </w:rPr>
        <w:t>对接美丽乡村建设、农村四好公路、人居环境改善等行动，打造系列产业路、景观路、生态路和文化路。</w:t>
      </w:r>
    </w:p>
    <w:p w14:paraId="0BAF08E6">
      <w:pPr>
        <w:keepNext w:val="0"/>
        <w:keepLines w:val="0"/>
        <w:pageBreakBefore w:val="0"/>
        <w:widowControl w:val="0"/>
        <w:kinsoku/>
        <w:wordWrap/>
        <w:overflowPunct/>
        <w:topLinePunct w:val="0"/>
        <w:autoSpaceDE/>
        <w:autoSpaceDN/>
        <w:bidi w:val="0"/>
        <w:spacing w:line="560" w:lineRule="exact"/>
        <w:ind w:firstLine="562" w:firstLineChars="200"/>
        <w:textAlignment w:val="auto"/>
        <w:rPr>
          <w:rFonts w:ascii="Times New Roman" w:hAnsi="Times New Roman" w:eastAsia="仿宋_GB2312" w:cs="Times New Roman"/>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做好清河通用机场筹建工作。</w:t>
      </w:r>
      <w:r>
        <w:rPr>
          <w:rFonts w:hint="eastAsia" w:ascii="仿宋_GB2312" w:hAnsi="仿宋_GB2312" w:eastAsia="仿宋_GB2312" w:cs="仿宋_GB2312"/>
          <w:color w:val="000000" w:themeColor="text1"/>
          <w:sz w:val="28"/>
          <w:szCs w:val="28"/>
          <w14:textFill>
            <w14:solidFill>
              <w14:schemeClr w14:val="tx1"/>
            </w14:solidFill>
          </w14:textFill>
        </w:rPr>
        <w:t>积极落实</w:t>
      </w:r>
      <w:r>
        <w:rPr>
          <w:rFonts w:hint="eastAsia" w:ascii="仿宋_GB2312" w:hAnsi="仿宋" w:eastAsia="仿宋_GB2312" w:cs="仿宋_GB2312"/>
          <w:color w:val="000000" w:themeColor="text1"/>
          <w:sz w:val="28"/>
          <w:szCs w:val="28"/>
          <w14:textFill>
            <w14:solidFill>
              <w14:schemeClr w14:val="tx1"/>
            </w14:solidFill>
          </w14:textFill>
        </w:rPr>
        <w:t>《河北省民航“十三五”发展规划》，围绕建设冀东南通用机场群重要支点，超前谋划，做好清河通用机场筹建工作，</w:t>
      </w:r>
      <w:r>
        <w:rPr>
          <w:rFonts w:hint="eastAsia" w:ascii="仿宋_GB2312" w:hAnsi="仿宋_GB2312" w:eastAsia="仿宋_GB2312" w:cs="仿宋_GB2312"/>
          <w:color w:val="000000" w:themeColor="text1"/>
          <w:sz w:val="28"/>
          <w:szCs w:val="28"/>
          <w14:textFill>
            <w14:solidFill>
              <w14:schemeClr w14:val="tx1"/>
            </w14:solidFill>
          </w14:textFill>
        </w:rPr>
        <w:t>稳步推进机场建设规划、招商选资、项目建设等相关工作。</w:t>
      </w:r>
      <w:bookmarkStart w:id="158" w:name="_Toc46068278"/>
    </w:p>
    <w:p w14:paraId="7752A3F0">
      <w:pPr>
        <w:keepNext w:val="0"/>
        <w:keepLines w:val="0"/>
        <w:pageBreakBefore w:val="0"/>
        <w:widowControl w:val="0"/>
        <w:kinsoku/>
        <w:wordWrap/>
        <w:overflowPunct/>
        <w:topLinePunct w:val="0"/>
        <w:autoSpaceDE/>
        <w:autoSpaceDN/>
        <w:bidi w:val="0"/>
        <w:spacing w:line="560" w:lineRule="exact"/>
        <w:ind w:firstLine="560" w:firstLineChars="200"/>
        <w:textAlignment w:val="auto"/>
        <w:outlineLvl w:val="2"/>
        <w:rPr>
          <w:rFonts w:ascii="楷体_GB2312" w:hAnsi="楷体_GB2312" w:eastAsia="楷体_GB2312" w:cs="楷体_GB2312"/>
          <w:b w:val="0"/>
          <w:bCs/>
          <w:color w:val="000000" w:themeColor="text1"/>
          <w:kern w:val="0"/>
          <w:sz w:val="28"/>
          <w:szCs w:val="28"/>
          <w14:textFill>
            <w14:solidFill>
              <w14:schemeClr w14:val="tx1"/>
            </w14:solidFill>
          </w14:textFill>
        </w:rPr>
      </w:pPr>
      <w:bookmarkStart w:id="159" w:name="_Toc30158"/>
      <w:r>
        <w:rPr>
          <w:rFonts w:hint="eastAsia" w:ascii="楷体_GB2312" w:hAnsi="楷体_GB2312" w:eastAsia="楷体_GB2312" w:cs="楷体_GB2312"/>
          <w:b w:val="0"/>
          <w:bCs/>
          <w:color w:val="000000" w:themeColor="text1"/>
          <w:kern w:val="0"/>
          <w:sz w:val="28"/>
          <w:szCs w:val="28"/>
          <w14:textFill>
            <w14:solidFill>
              <w14:schemeClr w14:val="tx1"/>
            </w14:solidFill>
          </w14:textFill>
        </w:rPr>
        <w:t>（三）加强水利基础设施建设</w:t>
      </w:r>
      <w:bookmarkEnd w:id="159"/>
    </w:p>
    <w:p w14:paraId="3034EF7A">
      <w:pPr>
        <w:pStyle w:val="2"/>
        <w:keepNext w:val="0"/>
        <w:keepLines w:val="0"/>
        <w:pageBreakBefore w:val="0"/>
        <w:widowControl w:val="0"/>
        <w:kinsoku/>
        <w:wordWrap/>
        <w:overflowPunct/>
        <w:topLinePunct w:val="0"/>
        <w:autoSpaceDE/>
        <w:autoSpaceDN/>
        <w:bidi w:val="0"/>
        <w:adjustRightInd/>
        <w:snapToGrid/>
        <w:spacing w:after="0" w:line="560" w:lineRule="exact"/>
        <w:ind w:firstLine="562" w:firstLineChars="200"/>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加大地下水超采综合治理</w:t>
      </w:r>
      <w:r>
        <w:rPr>
          <w:rFonts w:hint="eastAsia" w:ascii="Times New Roman" w:hAnsi="Times New Roman" w:cs="Times New Roman"/>
          <w:color w:val="000000" w:themeColor="text1"/>
          <w:sz w:val="28"/>
          <w:szCs w:val="28"/>
          <w14:textFill>
            <w14:solidFill>
              <w14:schemeClr w14:val="tx1"/>
            </w14:solidFill>
          </w14:textFill>
        </w:rPr>
        <w:t>。严格落实《河北省深入开展地下水超采综合治理工作方案》，多措并举，重点实施</w:t>
      </w:r>
      <w:r>
        <w:rPr>
          <w:rFonts w:ascii="Times New Roman" w:hAnsi="Times New Roman" w:cs="Times New Roman"/>
          <w:color w:val="000000" w:themeColor="text1"/>
          <w:sz w:val="28"/>
          <w:szCs w:val="28"/>
          <w14:textFill>
            <w14:solidFill>
              <w14:schemeClr w14:val="tx1"/>
            </w14:solidFill>
          </w14:textFill>
        </w:rPr>
        <w:t>全社会节水</w:t>
      </w:r>
      <w:r>
        <w:rPr>
          <w:rFonts w:hint="eastAsia" w:ascii="Times New Roman" w:hAnsi="Times New Roman" w:cs="Times New Roman"/>
          <w:color w:val="000000" w:themeColor="text1"/>
          <w:sz w:val="28"/>
          <w:szCs w:val="28"/>
          <w14:textFill>
            <w14:solidFill>
              <w14:schemeClr w14:val="tx1"/>
            </w14:solidFill>
          </w14:textFill>
        </w:rPr>
        <w:t>行动、</w:t>
      </w:r>
      <w:r>
        <w:rPr>
          <w:rFonts w:ascii="Times New Roman" w:hAnsi="Times New Roman" w:cs="Times New Roman"/>
          <w:color w:val="000000" w:themeColor="text1"/>
          <w:sz w:val="28"/>
          <w:szCs w:val="28"/>
          <w14:textFill>
            <w14:solidFill>
              <w14:schemeClr w14:val="tx1"/>
            </w14:solidFill>
          </w14:textFill>
        </w:rPr>
        <w:t>引足用好外调水</w:t>
      </w:r>
      <w:r>
        <w:rPr>
          <w:rFonts w:hint="eastAsia"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调整种植结构</w:t>
      </w:r>
      <w:r>
        <w:rPr>
          <w:rFonts w:hint="eastAsia"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河湖清洁补水</w:t>
      </w:r>
      <w:r>
        <w:rPr>
          <w:rFonts w:hint="eastAsia"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河湖库塘蓄水</w:t>
      </w:r>
      <w:r>
        <w:rPr>
          <w:rFonts w:hint="eastAsia"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地下水严格管控</w:t>
      </w:r>
      <w:r>
        <w:rPr>
          <w:rFonts w:hint="eastAsia" w:ascii="Times New Roman" w:hAnsi="Times New Roman" w:cs="Times New Roman"/>
          <w:color w:val="000000" w:themeColor="text1"/>
          <w:sz w:val="28"/>
          <w:szCs w:val="28"/>
          <w14:textFill>
            <w14:solidFill>
              <w14:schemeClr w14:val="tx1"/>
            </w14:solidFill>
          </w14:textFill>
        </w:rPr>
        <w:t>六大重点行动，“十四五”末，实现县域地下水采补平衡，地下水位全面回升，高标准完成省市下达的</w:t>
      </w:r>
      <w:r>
        <w:rPr>
          <w:rFonts w:ascii="Times New Roman" w:hAnsi="Times New Roman" w:cs="Times New Roman"/>
          <w:color w:val="000000" w:themeColor="text1"/>
          <w:sz w:val="28"/>
          <w:szCs w:val="28"/>
          <w14:textFill>
            <w14:solidFill>
              <w14:schemeClr w14:val="tx1"/>
            </w14:solidFill>
          </w14:textFill>
        </w:rPr>
        <w:t>地下水超采综合治理目标</w:t>
      </w:r>
      <w:r>
        <w:rPr>
          <w:rFonts w:hint="eastAsia" w:ascii="Times New Roman" w:hAnsi="Times New Roman" w:cs="Times New Roman"/>
          <w:color w:val="000000" w:themeColor="text1"/>
          <w:sz w:val="28"/>
          <w:szCs w:val="28"/>
          <w14:textFill>
            <w14:solidFill>
              <w14:schemeClr w14:val="tx1"/>
            </w14:solidFill>
          </w14:textFill>
        </w:rPr>
        <w:t>任务。</w:t>
      </w:r>
      <w:r>
        <w:rPr>
          <w:rFonts w:hint="eastAsia" w:ascii="Times New Roman" w:hAnsi="Times New Roman" w:cs="Times New Roman"/>
          <w:b/>
          <w:bCs/>
          <w:color w:val="000000" w:themeColor="text1"/>
          <w:sz w:val="28"/>
          <w:szCs w:val="28"/>
          <w14:textFill>
            <w14:solidFill>
              <w14:schemeClr w14:val="tx1"/>
            </w14:solidFill>
          </w14:textFill>
        </w:rPr>
        <w:t>做好河道坑塘治理。</w:t>
      </w:r>
      <w:r>
        <w:rPr>
          <w:rFonts w:hint="eastAsia" w:ascii="Times New Roman" w:hAnsi="Times New Roman" w:cs="Times New Roman"/>
          <w:color w:val="000000" w:themeColor="text1"/>
          <w:sz w:val="28"/>
          <w:szCs w:val="28"/>
          <w14:textFill>
            <w14:solidFill>
              <w14:schemeClr w14:val="tx1"/>
            </w14:solidFill>
          </w14:textFill>
        </w:rPr>
        <w:t>重点治理一批骨干河道，加大对河道水系连通工程的建设，做好对全县桥闸涵、泵站工程进行维修改造，重点建设一批时间快、效益好的储蓄水工程。</w:t>
      </w:r>
      <w:r>
        <w:rPr>
          <w:rFonts w:ascii="Times New Roman" w:hAnsi="Times New Roman" w:cs="Times New Roman"/>
          <w:b/>
          <w:bCs/>
          <w:color w:val="000000" w:themeColor="text1"/>
          <w:sz w:val="28"/>
          <w:szCs w:val="28"/>
          <w14:textFill>
            <w14:solidFill>
              <w14:schemeClr w14:val="tx1"/>
            </w14:solidFill>
          </w14:textFill>
        </w:rPr>
        <w:t>确保城乡供水安全</w:t>
      </w:r>
      <w:r>
        <w:rPr>
          <w:rFonts w:hint="eastAsia" w:ascii="Times New Roman" w:hAnsi="Times New Roman" w:cs="Times New Roman"/>
          <w:b/>
          <w:bCs/>
          <w:color w:val="000000" w:themeColor="text1"/>
          <w:sz w:val="28"/>
          <w:szCs w:val="28"/>
          <w14:textFill>
            <w14:solidFill>
              <w14:schemeClr w14:val="tx1"/>
            </w14:solidFill>
          </w14:textFill>
        </w:rPr>
        <w:t>。</w:t>
      </w:r>
      <w:r>
        <w:rPr>
          <w:rFonts w:hint="eastAsia" w:ascii="Times New Roman" w:hAnsi="Times New Roman" w:cs="Times New Roman"/>
          <w:color w:val="000000" w:themeColor="text1"/>
          <w:sz w:val="28"/>
          <w:szCs w:val="28"/>
          <w14:textFill>
            <w14:solidFill>
              <w14:schemeClr w14:val="tx1"/>
            </w14:solidFill>
          </w14:textFill>
        </w:rPr>
        <w:t>依托长江水直供项目，</w:t>
      </w:r>
      <w:r>
        <w:rPr>
          <w:rFonts w:ascii="Times New Roman" w:hAnsi="Times New Roman" w:cs="Times New Roman"/>
          <w:color w:val="000000" w:themeColor="text1"/>
          <w:sz w:val="28"/>
          <w:szCs w:val="28"/>
          <w14:textFill>
            <w14:solidFill>
              <w14:schemeClr w14:val="tx1"/>
            </w14:solidFill>
          </w14:textFill>
        </w:rPr>
        <w:t>实施农村生活用水置换和农村安全饮水巩固提升工程，加快完成管道铺设、供水站改建、村内管网改造并网等。构筑城乡一体的联合供水系</w:t>
      </w:r>
      <w:r>
        <w:rPr>
          <w:rFonts w:hint="eastAsia" w:ascii="Times New Roman" w:hAnsi="Times New Roman" w:cs="Times New Roman"/>
          <w:color w:val="000000" w:themeColor="text1"/>
          <w:sz w:val="28"/>
          <w:szCs w:val="28"/>
          <w14:textFill>
            <w14:solidFill>
              <w14:schemeClr w14:val="tx1"/>
            </w14:solidFill>
          </w14:textFill>
        </w:rPr>
        <w:t>统，清河全域供水由中心城区供水系统统一供应。</w:t>
      </w:r>
    </w:p>
    <w:p w14:paraId="09017CC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2"/>
        <w:rPr>
          <w:rFonts w:ascii="楷体_GB2312" w:hAnsi="楷体_GB2312" w:eastAsia="楷体_GB2312" w:cs="楷体_GB2312"/>
          <w:b w:val="0"/>
          <w:bCs/>
          <w:color w:val="000000" w:themeColor="text1"/>
          <w:kern w:val="0"/>
          <w:sz w:val="28"/>
          <w:szCs w:val="28"/>
          <w14:textFill>
            <w14:solidFill>
              <w14:schemeClr w14:val="tx1"/>
            </w14:solidFill>
          </w14:textFill>
        </w:rPr>
      </w:pPr>
      <w:bookmarkStart w:id="160" w:name="_Toc19581"/>
      <w:r>
        <w:rPr>
          <w:rFonts w:hint="eastAsia" w:ascii="楷体_GB2312" w:hAnsi="楷体_GB2312" w:eastAsia="楷体_GB2312" w:cs="楷体_GB2312"/>
          <w:b w:val="0"/>
          <w:bCs/>
          <w:color w:val="000000" w:themeColor="text1"/>
          <w:kern w:val="0"/>
          <w:sz w:val="28"/>
          <w:szCs w:val="28"/>
          <w14:textFill>
            <w14:solidFill>
              <w14:schemeClr w14:val="tx1"/>
            </w14:solidFill>
          </w14:textFill>
        </w:rPr>
        <w:t>（四）优化能源供应保障体系</w:t>
      </w:r>
      <w:bookmarkEnd w:id="158"/>
      <w:bookmarkEnd w:id="160"/>
    </w:p>
    <w:p w14:paraId="1A7FB82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构建供需平衡、结构多元、清洁利用、智能高效的现代能源体系。</w:t>
      </w:r>
      <w:r>
        <w:rPr>
          <w:rFonts w:ascii="Times New Roman" w:hAnsi="Times New Roman" w:eastAsia="仿宋_GB2312" w:cs="Times New Roman"/>
          <w:b/>
          <w:bCs/>
          <w:color w:val="000000" w:themeColor="text1"/>
          <w:sz w:val="28"/>
          <w:szCs w:val="28"/>
          <w14:textFill>
            <w14:solidFill>
              <w14:schemeClr w14:val="tx1"/>
            </w14:solidFill>
          </w14:textFill>
        </w:rPr>
        <w:t>提升电力保障能力</w:t>
      </w:r>
      <w:r>
        <w:rPr>
          <w:rFonts w:hint="eastAsia" w:ascii="Times New Roman" w:hAnsi="Times New Roman" w:eastAsia="仿宋_GB2312" w:cs="Times New Roman"/>
          <w:b/>
          <w:bCs/>
          <w:color w:val="000000" w:themeColor="text1"/>
          <w:sz w:val="28"/>
          <w:szCs w:val="28"/>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高标准推进区域电网和城市电网改造升级，</w:t>
      </w:r>
      <w:r>
        <w:rPr>
          <w:rFonts w:hint="eastAsia" w:ascii="仿宋_GB2312" w:hAnsi="仿宋_GB2312" w:eastAsia="仿宋_GB2312" w:cs="仿宋_GB2312"/>
          <w:color w:val="000000" w:themeColor="text1"/>
          <w:sz w:val="28"/>
          <w:szCs w:val="28"/>
          <w14:textFill>
            <w14:solidFill>
              <w14:schemeClr w14:val="tx1"/>
            </w14:solidFill>
          </w14:textFill>
        </w:rPr>
        <w:t>加快清河东、坝营等输变电工程建设，完成汽摩园110千伏输变电工程建设，扩建闽江110千伏变电站，</w:t>
      </w:r>
      <w:r>
        <w:rPr>
          <w:rFonts w:ascii="Times New Roman" w:hAnsi="Times New Roman" w:eastAsia="仿宋_GB2312" w:cs="Times New Roman"/>
          <w:color w:val="000000" w:themeColor="text1"/>
          <w:sz w:val="28"/>
          <w:szCs w:val="28"/>
          <w14:textFill>
            <w14:solidFill>
              <w14:schemeClr w14:val="tx1"/>
            </w14:solidFill>
          </w14:textFill>
        </w:rPr>
        <w:t>完善农村电网，加快新能源汽车充电设施布局。</w:t>
      </w:r>
      <w:r>
        <w:rPr>
          <w:rFonts w:hint="eastAsia" w:ascii="仿宋_GB2312" w:hAnsi="仿宋" w:eastAsia="仿宋_GB2312" w:cs="宋体"/>
          <w:color w:val="000000" w:themeColor="text1"/>
          <w:kern w:val="0"/>
          <w:sz w:val="28"/>
          <w:szCs w:val="28"/>
          <w14:textFill>
            <w14:solidFill>
              <w14:schemeClr w14:val="tx1"/>
            </w14:solidFill>
          </w14:textFill>
        </w:rPr>
        <w:t>建设健全智能电网，满足新能源、分布式电源、电动汽车等多元化用电需求，提高安全运行水平和风险应对能力。</w:t>
      </w:r>
      <w:r>
        <w:rPr>
          <w:rFonts w:ascii="Times New Roman" w:hAnsi="Times New Roman" w:eastAsia="仿宋_GB2312" w:cs="Times New Roman"/>
          <w:b/>
          <w:bCs/>
          <w:color w:val="000000" w:themeColor="text1"/>
          <w:sz w:val="28"/>
          <w:szCs w:val="28"/>
          <w14:textFill>
            <w14:solidFill>
              <w14:schemeClr w14:val="tx1"/>
            </w14:solidFill>
          </w14:textFill>
        </w:rPr>
        <w:t>提升天然气保障能力</w:t>
      </w:r>
      <w:r>
        <w:rPr>
          <w:rFonts w:hint="eastAsia" w:ascii="Times New Roman" w:hAnsi="Times New Roman" w:eastAsia="仿宋_GB2312" w:cs="Times New Roman"/>
          <w:b/>
          <w:bCs/>
          <w:color w:val="000000" w:themeColor="text1"/>
          <w:sz w:val="28"/>
          <w:szCs w:val="28"/>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深入落实天然气管网“县县通”工程，</w:t>
      </w:r>
      <w:r>
        <w:rPr>
          <w:rFonts w:hint="eastAsia" w:ascii="仿宋_GB2312" w:hAnsi="仿宋" w:eastAsia="仿宋_GB2312" w:cs="宋体"/>
          <w:color w:val="000000" w:themeColor="text1"/>
          <w:kern w:val="0"/>
          <w:sz w:val="28"/>
          <w:szCs w:val="28"/>
          <w14:textFill>
            <w14:solidFill>
              <w14:schemeClr w14:val="tx1"/>
            </w14:solidFill>
          </w14:textFill>
        </w:rPr>
        <w:t>完善天然气输配气管网、配套门站、储气调峰设施和加气站，推进一批液化天然气储备中心项目建设，提高供气稳定性和可靠性。</w:t>
      </w:r>
      <w:r>
        <w:rPr>
          <w:rFonts w:hint="eastAsia" w:ascii="Times New Roman" w:hAnsi="Times New Roman" w:eastAsia="仿宋_GB2312" w:cs="Times New Roman"/>
          <w:b/>
          <w:bCs/>
          <w:color w:val="000000" w:themeColor="text1"/>
          <w:sz w:val="28"/>
          <w:szCs w:val="28"/>
          <w:lang w:eastAsia="zh-CN"/>
          <w14:textFill>
            <w14:solidFill>
              <w14:schemeClr w14:val="tx1"/>
            </w14:solidFill>
          </w14:textFill>
        </w:rPr>
        <w:t>提升</w:t>
      </w:r>
      <w:r>
        <w:rPr>
          <w:rFonts w:hint="eastAsia" w:ascii="Times New Roman" w:hAnsi="Times New Roman" w:eastAsia="仿宋_GB2312" w:cs="Times New Roman"/>
          <w:b/>
          <w:bCs/>
          <w:color w:val="000000" w:themeColor="text1"/>
          <w:sz w:val="28"/>
          <w:szCs w:val="28"/>
          <w14:textFill>
            <w14:solidFill>
              <w14:schemeClr w14:val="tx1"/>
            </w14:solidFill>
          </w14:textFill>
        </w:rPr>
        <w:t>清洁能源生产能力。</w:t>
      </w:r>
      <w:r>
        <w:rPr>
          <w:rFonts w:hint="eastAsia" w:ascii="Times New Roman" w:hAnsi="Times New Roman" w:eastAsia="仿宋_GB2312" w:cs="Times New Roman"/>
          <w:color w:val="000000" w:themeColor="text1"/>
          <w:sz w:val="28"/>
          <w:szCs w:val="28"/>
          <w14:textFill>
            <w14:solidFill>
              <w14:schemeClr w14:val="tx1"/>
            </w14:solidFill>
          </w14:textFill>
        </w:rPr>
        <w:t>因地制宜加强农村可再生能源多样化开发利用，积极推进农村分布式能源发展，支持光伏、沼气、生物质热电联产等项目建设。</w:t>
      </w:r>
    </w:p>
    <w:p w14:paraId="0446C59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2"/>
        <w:rPr>
          <w:rFonts w:ascii="楷体_GB2312" w:hAnsi="楷体_GB2312" w:eastAsia="楷体_GB2312" w:cs="楷体_GB2312"/>
          <w:b w:val="0"/>
          <w:bCs/>
          <w:color w:val="000000" w:themeColor="text1"/>
          <w:kern w:val="0"/>
          <w:sz w:val="28"/>
          <w:szCs w:val="28"/>
          <w14:textFill>
            <w14:solidFill>
              <w14:schemeClr w14:val="tx1"/>
            </w14:solidFill>
          </w14:textFill>
        </w:rPr>
      </w:pPr>
      <w:bookmarkStart w:id="161" w:name="_Toc32390"/>
      <w:r>
        <w:rPr>
          <w:rFonts w:hint="eastAsia" w:ascii="楷体_GB2312" w:hAnsi="楷体_GB2312" w:eastAsia="楷体_GB2312" w:cs="楷体_GB2312"/>
          <w:b w:val="0"/>
          <w:bCs/>
          <w:color w:val="000000" w:themeColor="text1"/>
          <w:kern w:val="0"/>
          <w:sz w:val="28"/>
          <w:szCs w:val="28"/>
          <w14:textFill>
            <w14:solidFill>
              <w14:schemeClr w14:val="tx1"/>
            </w14:solidFill>
          </w14:textFill>
        </w:rPr>
        <w:t>（五）加快减灾防灾设施建设</w:t>
      </w:r>
      <w:bookmarkEnd w:id="161"/>
    </w:p>
    <w:p w14:paraId="1EAA154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围绕地震地质及气象灾害、人防及应急保障设施建设，加强灾害监测站、检测站、测报点等基层网络建设。</w:t>
      </w:r>
      <w:r>
        <w:rPr>
          <w:rFonts w:hint="eastAsia" w:ascii="仿宋_GB2312" w:hAnsi="仿宋" w:eastAsia="仿宋_GB2312" w:cs="宋体"/>
          <w:color w:val="000000" w:themeColor="text1"/>
          <w:kern w:val="0"/>
          <w:sz w:val="28"/>
          <w:szCs w:val="28"/>
          <w14:textFill>
            <w14:solidFill>
              <w14:schemeClr w14:val="tx1"/>
            </w14:solidFill>
          </w14:textFill>
        </w:rPr>
        <w:t>加强学校、广场、大型商场等场所的临时利用，建设具备应急指挥、应急避难、医疗救治等功能的应急避难场所。推进救灾物资储备设施建设，充分利用政府和社会现有储备仓库，适当新建生活类救灾物资储备分库，形成分级管理、种类齐全、规模适度、保障有力的救灾物资储备网络。积极发挥市场作用，形成企业生产物资储备和下沉基层的门店分布式物资储备机制，确保关键时刻拿得出、调得快、用得上、有保证，有效应对重大突发事件。</w:t>
      </w:r>
    </w:p>
    <w:p w14:paraId="18154573">
      <w:pPr>
        <w:pStyle w:val="5"/>
        <w:keepNext w:val="0"/>
        <w:keepLines w:val="0"/>
        <w:pageBreakBefore w:val="0"/>
        <w:widowControl w:val="0"/>
        <w:kinsoku/>
        <w:wordWrap/>
        <w:overflowPunct/>
        <w:topLinePunct w:val="0"/>
        <w:autoSpaceDE/>
        <w:autoSpaceDN/>
        <w:bidi w:val="0"/>
        <w:spacing w:before="0" w:after="0" w:line="560" w:lineRule="exact"/>
        <w:ind w:firstLine="560" w:firstLineChars="200"/>
        <w:textAlignment w:val="auto"/>
        <w:rPr>
          <w:rFonts w:ascii="黑体" w:hAnsi="黑体" w:eastAsia="黑体"/>
          <w:b w:val="0"/>
          <w:bCs w:val="0"/>
          <w:color w:val="000000" w:themeColor="text1"/>
          <w:sz w:val="28"/>
          <w:szCs w:val="28"/>
          <w14:textFill>
            <w14:solidFill>
              <w14:schemeClr w14:val="tx1"/>
            </w14:solidFill>
          </w14:textFill>
        </w:rPr>
      </w:pPr>
      <w:bookmarkStart w:id="162" w:name="_Toc2095"/>
      <w:bookmarkStart w:id="163" w:name="_Toc8679"/>
      <w:bookmarkStart w:id="164" w:name="_Toc27421"/>
      <w:bookmarkStart w:id="165" w:name="_Toc13725"/>
      <w:r>
        <w:rPr>
          <w:rFonts w:hint="eastAsia" w:ascii="黑体" w:hAnsi="黑体" w:eastAsia="黑体"/>
          <w:b w:val="0"/>
          <w:bCs w:val="0"/>
          <w:color w:val="000000" w:themeColor="text1"/>
          <w:sz w:val="28"/>
          <w:szCs w:val="28"/>
          <w14:textFill>
            <w14:solidFill>
              <w14:schemeClr w14:val="tx1"/>
            </w14:solidFill>
          </w14:textFill>
        </w:rPr>
        <w:t>四、强化招商选资，厚植高质量赶超发展新动能</w:t>
      </w:r>
      <w:bookmarkEnd w:id="162"/>
      <w:bookmarkEnd w:id="163"/>
      <w:bookmarkEnd w:id="164"/>
      <w:bookmarkEnd w:id="165"/>
    </w:p>
    <w:p w14:paraId="4BCAC447">
      <w:pPr>
        <w:keepNext w:val="0"/>
        <w:keepLines w:val="0"/>
        <w:pageBreakBefore w:val="0"/>
        <w:widowControl w:val="0"/>
        <w:kinsoku/>
        <w:wordWrap/>
        <w:overflowPunct/>
        <w:topLinePunct w:val="0"/>
        <w:autoSpaceDE/>
        <w:autoSpaceDN/>
        <w:bidi w:val="0"/>
        <w:spacing w:line="560" w:lineRule="exact"/>
        <w:ind w:firstLine="560" w:firstLineChars="200"/>
        <w:textAlignment w:val="auto"/>
        <w:outlineLvl w:val="2"/>
        <w:rPr>
          <w:rFonts w:ascii="楷体_GB2312" w:hAnsi="楷体_GB2312" w:eastAsia="楷体_GB2312" w:cs="楷体_GB2312"/>
          <w:b w:val="0"/>
          <w:bCs/>
          <w:color w:val="000000" w:themeColor="text1"/>
          <w:kern w:val="0"/>
          <w:sz w:val="28"/>
          <w:szCs w:val="28"/>
          <w14:textFill>
            <w14:solidFill>
              <w14:schemeClr w14:val="tx1"/>
            </w14:solidFill>
          </w14:textFill>
        </w:rPr>
      </w:pPr>
      <w:bookmarkStart w:id="166" w:name="_Toc6772"/>
      <w:r>
        <w:rPr>
          <w:rFonts w:hint="eastAsia" w:ascii="楷体_GB2312" w:hAnsi="楷体_GB2312" w:eastAsia="楷体_GB2312" w:cs="楷体_GB2312"/>
          <w:b w:val="0"/>
          <w:bCs/>
          <w:color w:val="000000" w:themeColor="text1"/>
          <w:kern w:val="0"/>
          <w:sz w:val="28"/>
          <w:szCs w:val="28"/>
          <w14:textFill>
            <w14:solidFill>
              <w14:schemeClr w14:val="tx1"/>
            </w14:solidFill>
          </w14:textFill>
        </w:rPr>
        <w:t>（一）狠抓招商选资</w:t>
      </w:r>
      <w:bookmarkEnd w:id="166"/>
    </w:p>
    <w:p w14:paraId="6D778118">
      <w:pPr>
        <w:pStyle w:val="2"/>
        <w:keepNext w:val="0"/>
        <w:keepLines w:val="0"/>
        <w:pageBreakBefore w:val="0"/>
        <w:widowControl w:val="0"/>
        <w:kinsoku/>
        <w:wordWrap/>
        <w:overflowPunct/>
        <w:topLinePunct w:val="0"/>
        <w:autoSpaceDE/>
        <w:autoSpaceDN/>
        <w:bidi w:val="0"/>
        <w:spacing w:after="0" w:line="560" w:lineRule="exact"/>
        <w:ind w:firstLine="562" w:firstLineChars="200"/>
        <w:textAlignment w:val="auto"/>
        <w:rPr>
          <w:rFonts w:hAnsi="仿宋_GB2312"/>
          <w:color w:val="000000" w:themeColor="text1"/>
          <w:sz w:val="28"/>
          <w:szCs w:val="28"/>
          <w14:textFill>
            <w14:solidFill>
              <w14:schemeClr w14:val="tx1"/>
            </w14:solidFill>
          </w14:textFill>
        </w:rPr>
      </w:pPr>
      <w:r>
        <w:rPr>
          <w:rFonts w:hint="eastAsia" w:hAnsi="仿宋_GB2312"/>
          <w:b/>
          <w:bCs/>
          <w:color w:val="000000" w:themeColor="text1"/>
          <w:sz w:val="28"/>
          <w:szCs w:val="28"/>
          <w14:textFill>
            <w14:solidFill>
              <w14:schemeClr w14:val="tx1"/>
            </w14:solidFill>
          </w14:textFill>
        </w:rPr>
        <w:t>完善招商体系。</w:t>
      </w:r>
      <w:r>
        <w:rPr>
          <w:rFonts w:hint="eastAsia" w:hAnsi="仿宋_GB2312"/>
          <w:color w:val="000000" w:themeColor="text1"/>
          <w:sz w:val="28"/>
          <w:szCs w:val="28"/>
          <w14:textFill>
            <w14:solidFill>
              <w14:schemeClr w14:val="tx1"/>
            </w14:solidFill>
          </w14:textFill>
        </w:rPr>
        <w:t>构建以招商选资工作领导小组为统领，以开发区为中心，以各镇、各部门为协同的招商作战体系，进一步发挥北京、上海、深圳驻外招商专员作用，凝聚大招商、招大商的强大合力。</w:t>
      </w:r>
      <w:r>
        <w:rPr>
          <w:rFonts w:hint="eastAsia" w:hAnsi="仿宋_GB2312"/>
          <w:b/>
          <w:bCs/>
          <w:color w:val="000000" w:themeColor="text1"/>
          <w:sz w:val="28"/>
          <w:szCs w:val="28"/>
          <w14:textFill>
            <w14:solidFill>
              <w14:schemeClr w14:val="tx1"/>
            </w14:solidFill>
          </w14:textFill>
        </w:rPr>
        <w:t>创新招商方式。</w:t>
      </w:r>
      <w:r>
        <w:rPr>
          <w:rFonts w:hint="eastAsia" w:hAnsi="仿宋_GB2312"/>
          <w:color w:val="000000" w:themeColor="text1"/>
          <w:sz w:val="28"/>
          <w:szCs w:val="28"/>
          <w14:textFill>
            <w14:solidFill>
              <w14:schemeClr w14:val="tx1"/>
            </w14:solidFill>
          </w14:textFill>
        </w:rPr>
        <w:t>坚持内培外引，大力引增量，围绕延链补链强链，积极对接京津、江浙沪蒙、珠三角，充分依托我县龙头企业的资源优势，开展产业链招商、驻地招商、以商招商、清商回归。</w:t>
      </w:r>
      <w:r>
        <w:rPr>
          <w:rFonts w:hint="eastAsia" w:hAnsi="仿宋_GB2312"/>
          <w:b/>
          <w:bCs/>
          <w:color w:val="000000" w:themeColor="text1"/>
          <w:sz w:val="28"/>
          <w:szCs w:val="28"/>
          <w14:textFill>
            <w14:solidFill>
              <w14:schemeClr w14:val="tx1"/>
            </w14:solidFill>
          </w14:textFill>
        </w:rPr>
        <w:t>明确招商方向。</w:t>
      </w:r>
      <w:r>
        <w:rPr>
          <w:rFonts w:hint="eastAsia" w:hAnsi="仿宋_GB2312"/>
          <w:color w:val="000000" w:themeColor="text1"/>
          <w:sz w:val="28"/>
          <w:szCs w:val="28"/>
          <w14:textFill>
            <w14:solidFill>
              <w14:schemeClr w14:val="tx1"/>
            </w14:solidFill>
          </w14:textFill>
        </w:rPr>
        <w:t>一是盯住“世</w:t>
      </w:r>
      <w:r>
        <w:rPr>
          <w:rFonts w:hint="eastAsia" w:hAnsi="仿宋_GB2312"/>
          <w:color w:val="000000" w:themeColor="text1"/>
          <w:kern w:val="0"/>
          <w:sz w:val="28"/>
          <w:szCs w:val="28"/>
          <w14:textFill>
            <w14:solidFill>
              <w14:schemeClr w14:val="tx1"/>
            </w14:solidFill>
          </w14:textFill>
        </w:rPr>
        <w:t>界500强”</w:t>
      </w:r>
      <w:r>
        <w:rPr>
          <w:rFonts w:hint="eastAsia" w:hAnsi="仿宋_GB2312"/>
          <w:color w:val="000000" w:themeColor="text1"/>
          <w:sz w:val="28"/>
          <w:szCs w:val="28"/>
          <w14:textFill>
            <w14:solidFill>
              <w14:schemeClr w14:val="tx1"/>
            </w14:solidFill>
          </w14:textFill>
        </w:rPr>
        <w:t>“中国500强”企业、行业龙头企业、国企央企名企，强力推动一批关键性、节点性、带动性强的重大项目，着力引进一批“雁阵效应”的“领头雁”项目、“孵蛋效应”的“老母鸡”项目和高精尖项目，放大“鲶鱼效应”。二是把补链强链作为持续动能，围绕主导产业发展需求，重点引进上下游企业，增强产业关联度和配套能力，提升产业链供应链水平。</w:t>
      </w:r>
    </w:p>
    <w:p w14:paraId="640A9E7B">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ascii="Times New Roman" w:hAnsi="Times New Roman" w:eastAsia="仿宋_GB2312" w:cs="Times New Roman"/>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“十四五”期间，签约项目协议总金额400亿元以上，签约亿元以上项目不低于160个</w:t>
      </w:r>
      <w:r>
        <w:rPr>
          <w:rFonts w:hint="eastAsia" w:ascii="Times New Roman" w:hAnsi="Times New Roman" w:eastAsia="仿宋_GB2312" w:cs="Times New Roman"/>
          <w:color w:val="000000" w:themeColor="text1"/>
          <w:sz w:val="28"/>
          <w:szCs w:val="28"/>
          <w14:textFill>
            <w14:solidFill>
              <w14:schemeClr w14:val="tx1"/>
            </w14:solidFill>
          </w14:textFill>
        </w:rPr>
        <w:t>。</w:t>
      </w:r>
    </w:p>
    <w:p w14:paraId="3BF1EBDC">
      <w:pPr>
        <w:keepNext w:val="0"/>
        <w:keepLines w:val="0"/>
        <w:pageBreakBefore w:val="0"/>
        <w:widowControl w:val="0"/>
        <w:kinsoku/>
        <w:wordWrap/>
        <w:overflowPunct/>
        <w:topLinePunct w:val="0"/>
        <w:autoSpaceDE/>
        <w:autoSpaceDN/>
        <w:bidi w:val="0"/>
        <w:spacing w:line="560" w:lineRule="exact"/>
        <w:ind w:firstLine="560" w:firstLineChars="200"/>
        <w:textAlignment w:val="auto"/>
        <w:outlineLvl w:val="2"/>
        <w:rPr>
          <w:rFonts w:ascii="楷体_GB2312" w:hAnsi="楷体_GB2312" w:eastAsia="楷体_GB2312" w:cs="楷体_GB2312"/>
          <w:b w:val="0"/>
          <w:bCs/>
          <w:color w:val="000000" w:themeColor="text1"/>
          <w:kern w:val="0"/>
          <w:sz w:val="28"/>
          <w:szCs w:val="28"/>
          <w14:textFill>
            <w14:solidFill>
              <w14:schemeClr w14:val="tx1"/>
            </w14:solidFill>
          </w14:textFill>
        </w:rPr>
      </w:pPr>
      <w:bookmarkStart w:id="167" w:name="_Toc14469"/>
      <w:r>
        <w:rPr>
          <w:rFonts w:hint="eastAsia" w:ascii="楷体_GB2312" w:hAnsi="楷体_GB2312" w:eastAsia="楷体_GB2312" w:cs="楷体_GB2312"/>
          <w:b w:val="0"/>
          <w:bCs/>
          <w:color w:val="000000" w:themeColor="text1"/>
          <w:kern w:val="0"/>
          <w:sz w:val="28"/>
          <w:szCs w:val="28"/>
          <w14:textFill>
            <w14:solidFill>
              <w14:schemeClr w14:val="tx1"/>
            </w14:solidFill>
          </w14:textFill>
        </w:rPr>
        <w:t>（二）加快项目“双进双产”</w:t>
      </w:r>
      <w:bookmarkEnd w:id="167"/>
    </w:p>
    <w:p w14:paraId="2A4711F2">
      <w:pPr>
        <w:pStyle w:val="2"/>
        <w:keepNext w:val="0"/>
        <w:keepLines w:val="0"/>
        <w:pageBreakBefore w:val="0"/>
        <w:widowControl w:val="0"/>
        <w:kinsoku/>
        <w:wordWrap/>
        <w:overflowPunct/>
        <w:topLinePunct w:val="0"/>
        <w:autoSpaceDE/>
        <w:autoSpaceDN/>
        <w:bidi w:val="0"/>
        <w:spacing w:after="0" w:line="560" w:lineRule="exact"/>
        <w:ind w:firstLine="560" w:firstLineChars="200"/>
        <w:textAlignment w:val="auto"/>
        <w:rPr>
          <w:rFonts w:hAnsi="仿宋_GB2312"/>
          <w:color w:val="000000" w:themeColor="text1"/>
          <w:sz w:val="28"/>
          <w:szCs w:val="28"/>
          <w14:textFill>
            <w14:solidFill>
              <w14:schemeClr w14:val="tx1"/>
            </w14:solidFill>
          </w14:textFill>
        </w:rPr>
      </w:pPr>
      <w:r>
        <w:rPr>
          <w:rFonts w:hint="eastAsia" w:hAnsi="仿宋_GB2312"/>
          <w:color w:val="000000" w:themeColor="text1"/>
          <w:sz w:val="28"/>
          <w:szCs w:val="28"/>
          <w14:textFill>
            <w14:solidFill>
              <w14:schemeClr w14:val="tx1"/>
            </w14:solidFill>
          </w14:textFill>
        </w:rPr>
        <w:t>坚持“项目为王、效率至上”，把“双进双产”作为重中之重，围绕羊绒、汽配等特色支柱产业，强化“亩均论英雄” 导向，加大“大好高优”项目的引进落地力度。以“见工地、见设备、见产品”为标尺，加快推进北京天科合达、河北敬通远、上海春竹、中航上大高温合金、海澜之家、中汇纺织智能数字化纺织工厂、华家那羊绒等省市县重点项目落地投产。</w:t>
      </w:r>
    </w:p>
    <w:p w14:paraId="58F51634">
      <w:pPr>
        <w:pStyle w:val="2"/>
        <w:keepNext w:val="0"/>
        <w:keepLines w:val="0"/>
        <w:pageBreakBefore w:val="0"/>
        <w:widowControl w:val="0"/>
        <w:kinsoku/>
        <w:wordWrap/>
        <w:overflowPunct/>
        <w:topLinePunct w:val="0"/>
        <w:autoSpaceDE/>
        <w:autoSpaceDN/>
        <w:bidi w:val="0"/>
        <w:spacing w:after="0" w:line="560" w:lineRule="exact"/>
        <w:ind w:firstLine="560" w:firstLineChars="200"/>
        <w:textAlignment w:val="auto"/>
        <w:rPr>
          <w:rFonts w:hAnsi="仿宋_GB2312"/>
          <w:color w:val="000000" w:themeColor="text1"/>
          <w:sz w:val="28"/>
          <w:szCs w:val="28"/>
          <w14:textFill>
            <w14:solidFill>
              <w14:schemeClr w14:val="tx1"/>
            </w14:solidFill>
          </w14:textFill>
        </w:rPr>
      </w:pPr>
      <w:r>
        <w:rPr>
          <w:rFonts w:hint="eastAsia" w:hAnsi="仿宋_GB2312"/>
          <w:color w:val="000000" w:themeColor="text1"/>
          <w:sz w:val="28"/>
          <w:szCs w:val="28"/>
          <w14:textFill>
            <w14:solidFill>
              <w14:schemeClr w14:val="tx1"/>
            </w14:solidFill>
          </w14:textFill>
        </w:rPr>
        <w:t>力争“十四五”期间，全县工业投资增速保持在两位数以上。到2025年，全县新增亿元以上开工入库工业项目</w:t>
      </w:r>
      <w:r>
        <w:rPr>
          <w:rFonts w:hAnsi="仿宋_GB2312"/>
          <w:color w:val="000000" w:themeColor="text1"/>
          <w:sz w:val="28"/>
          <w:szCs w:val="28"/>
          <w14:textFill>
            <w14:solidFill>
              <w14:schemeClr w14:val="tx1"/>
            </w14:solidFill>
          </w14:textFill>
        </w:rPr>
        <w:t>150</w:t>
      </w:r>
      <w:r>
        <w:rPr>
          <w:rFonts w:hint="eastAsia" w:hAnsi="仿宋_GB2312"/>
          <w:color w:val="000000" w:themeColor="text1"/>
          <w:sz w:val="28"/>
          <w:szCs w:val="28"/>
          <w14:textFill>
            <w14:solidFill>
              <w14:schemeClr w14:val="tx1"/>
            </w14:solidFill>
          </w14:textFill>
        </w:rPr>
        <w:t>个以上，新增亿元以上竣工投产项目</w:t>
      </w:r>
      <w:r>
        <w:rPr>
          <w:rFonts w:hAnsi="仿宋_GB2312"/>
          <w:color w:val="000000" w:themeColor="text1"/>
          <w:sz w:val="28"/>
          <w:szCs w:val="28"/>
          <w14:textFill>
            <w14:solidFill>
              <w14:schemeClr w14:val="tx1"/>
            </w14:solidFill>
          </w14:textFill>
        </w:rPr>
        <w:t>100</w:t>
      </w:r>
      <w:r>
        <w:rPr>
          <w:rFonts w:hint="eastAsia" w:hAnsi="仿宋_GB2312"/>
          <w:color w:val="000000" w:themeColor="text1"/>
          <w:sz w:val="28"/>
          <w:szCs w:val="28"/>
          <w14:textFill>
            <w14:solidFill>
              <w14:schemeClr w14:val="tx1"/>
            </w14:solidFill>
          </w14:textFill>
        </w:rPr>
        <w:t>个；确保工业企业亩均税收年均增长15%以上，到2025年底达到10万元以上。</w:t>
      </w:r>
    </w:p>
    <w:p w14:paraId="4FED80DD">
      <w:pPr>
        <w:keepNext w:val="0"/>
        <w:keepLines w:val="0"/>
        <w:pageBreakBefore w:val="0"/>
        <w:widowControl w:val="0"/>
        <w:kinsoku/>
        <w:wordWrap/>
        <w:overflowPunct/>
        <w:topLinePunct w:val="0"/>
        <w:autoSpaceDE/>
        <w:autoSpaceDN/>
        <w:bidi w:val="0"/>
        <w:spacing w:line="560" w:lineRule="exact"/>
        <w:ind w:firstLine="560" w:firstLineChars="200"/>
        <w:textAlignment w:val="auto"/>
        <w:outlineLvl w:val="2"/>
        <w:rPr>
          <w:rFonts w:ascii="楷体_GB2312" w:hAnsi="楷体_GB2312" w:eastAsia="楷体_GB2312" w:cs="楷体_GB2312"/>
          <w:b w:val="0"/>
          <w:bCs/>
          <w:color w:val="000000" w:themeColor="text1"/>
          <w:kern w:val="0"/>
          <w:sz w:val="28"/>
          <w:szCs w:val="28"/>
          <w14:textFill>
            <w14:solidFill>
              <w14:schemeClr w14:val="tx1"/>
            </w14:solidFill>
          </w14:textFill>
        </w:rPr>
      </w:pPr>
      <w:bookmarkStart w:id="168" w:name="_Toc30658"/>
      <w:r>
        <w:rPr>
          <w:rFonts w:hint="eastAsia" w:ascii="楷体_GB2312" w:hAnsi="楷体_GB2312" w:eastAsia="楷体_GB2312" w:cs="楷体_GB2312"/>
          <w:b w:val="0"/>
          <w:bCs/>
          <w:color w:val="000000" w:themeColor="text1"/>
          <w:kern w:val="0"/>
          <w:sz w:val="28"/>
          <w:szCs w:val="28"/>
          <w14:textFill>
            <w14:solidFill>
              <w14:schemeClr w14:val="tx1"/>
            </w14:solidFill>
          </w14:textFill>
        </w:rPr>
        <w:t>（三）优化要素供给</w:t>
      </w:r>
      <w:bookmarkEnd w:id="168"/>
    </w:p>
    <w:p w14:paraId="5BA7F003">
      <w:pPr>
        <w:pStyle w:val="23"/>
        <w:keepNext w:val="0"/>
        <w:keepLines w:val="0"/>
        <w:pageBreakBefore w:val="0"/>
        <w:widowControl w:val="0"/>
        <w:kinsoku/>
        <w:wordWrap/>
        <w:overflowPunct/>
        <w:topLinePunct w:val="0"/>
        <w:autoSpaceDE/>
        <w:autoSpaceDN/>
        <w:bidi w:val="0"/>
        <w:spacing w:before="0" w:beforeAutospacing="0" w:after="0" w:afterAutospacing="0" w:line="560" w:lineRule="exact"/>
        <w:ind w:firstLine="562" w:firstLineChars="200"/>
        <w:jc w:val="both"/>
        <w:textAlignment w:val="auto"/>
        <w:rPr>
          <w:rFonts w:ascii="Times New Roman" w:hAnsi="Times New Roman" w:eastAsia="仿宋_GB2312" w:cs="Times New Roman"/>
          <w:b/>
          <w:bCs/>
          <w:color w:val="000000" w:themeColor="text1"/>
          <w:kern w:val="2"/>
          <w:sz w:val="28"/>
          <w:szCs w:val="28"/>
          <w14:textFill>
            <w14:solidFill>
              <w14:schemeClr w14:val="tx1"/>
            </w14:solidFill>
          </w14:textFill>
        </w:rPr>
      </w:pPr>
      <w:r>
        <w:rPr>
          <w:rFonts w:hint="eastAsia" w:ascii="Times New Roman" w:hAnsi="Times New Roman" w:eastAsia="仿宋_GB2312" w:cs="Times New Roman"/>
          <w:b/>
          <w:bCs/>
          <w:color w:val="000000" w:themeColor="text1"/>
          <w:kern w:val="2"/>
          <w:sz w:val="28"/>
          <w:szCs w:val="28"/>
          <w:lang w:val="en-US" w:eastAsia="zh-CN"/>
          <w14:textFill>
            <w14:solidFill>
              <w14:schemeClr w14:val="tx1"/>
            </w14:solidFill>
          </w14:textFill>
        </w:rPr>
        <w:t>1.</w:t>
      </w:r>
      <w:r>
        <w:rPr>
          <w:rFonts w:ascii="Times New Roman" w:hAnsi="Times New Roman" w:eastAsia="仿宋_GB2312" w:cs="Times New Roman"/>
          <w:b/>
          <w:bCs/>
          <w:color w:val="000000" w:themeColor="text1"/>
          <w:kern w:val="2"/>
          <w:sz w:val="28"/>
          <w:szCs w:val="28"/>
          <w14:textFill>
            <w14:solidFill>
              <w14:schemeClr w14:val="tx1"/>
            </w14:solidFill>
          </w14:textFill>
        </w:rPr>
        <w:t>强化土地要素保障</w:t>
      </w:r>
    </w:p>
    <w:p w14:paraId="00DAF85F">
      <w:pPr>
        <w:pStyle w:val="23"/>
        <w:keepNext w:val="0"/>
        <w:keepLines w:val="0"/>
        <w:pageBreakBefore w:val="0"/>
        <w:widowControl w:val="0"/>
        <w:kinsoku/>
        <w:wordWrap/>
        <w:overflowPunct/>
        <w:topLinePunct w:val="0"/>
        <w:autoSpaceDE/>
        <w:autoSpaceDN/>
        <w:bidi w:val="0"/>
        <w:spacing w:before="0" w:beforeAutospacing="0" w:after="0" w:afterAutospacing="0" w:line="560" w:lineRule="exact"/>
        <w:ind w:firstLine="562" w:firstLineChars="200"/>
        <w:jc w:val="both"/>
        <w:textAlignment w:val="auto"/>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b/>
          <w:bCs/>
          <w:color w:val="000000" w:themeColor="text1"/>
          <w:sz w:val="28"/>
          <w:szCs w:val="28"/>
          <w14:textFill>
            <w14:solidFill>
              <w14:schemeClr w14:val="tx1"/>
            </w14:solidFill>
          </w14:textFill>
        </w:rPr>
        <w:t>做好耕地保护。</w:t>
      </w:r>
      <w:r>
        <w:rPr>
          <w:rFonts w:ascii="Times New Roman" w:hAnsi="Times New Roman" w:eastAsia="仿宋_GB2312" w:cs="Times New Roman"/>
          <w:color w:val="000000" w:themeColor="text1"/>
          <w:sz w:val="28"/>
          <w:szCs w:val="28"/>
          <w14:textFill>
            <w14:solidFill>
              <w14:schemeClr w14:val="tx1"/>
            </w14:solidFill>
          </w14:textFill>
        </w:rPr>
        <w:t>以国土空间规划为引领，实施耕地数量、质量、生态“三位一体”综合保护，牢牢守住耕地红线，确保国家粮食安全。</w:t>
      </w:r>
      <w:r>
        <w:rPr>
          <w:rFonts w:ascii="Times New Roman" w:hAnsi="Times New Roman" w:eastAsia="仿宋_GB2312" w:cs="Times New Roman"/>
          <w:b/>
          <w:bCs/>
          <w:color w:val="000000" w:themeColor="text1"/>
          <w:sz w:val="28"/>
          <w:szCs w:val="28"/>
          <w14:textFill>
            <w14:solidFill>
              <w14:schemeClr w14:val="tx1"/>
            </w14:solidFill>
          </w14:textFill>
        </w:rPr>
        <w:t>狠抓土地储备</w:t>
      </w:r>
      <w:r>
        <w:rPr>
          <w:rFonts w:hint="eastAsia" w:ascii="Times New Roman" w:hAnsi="Times New Roman" w:eastAsia="仿宋_GB2312" w:cs="Times New Roman"/>
          <w:b/>
          <w:bCs/>
          <w:color w:val="000000" w:themeColor="text1"/>
          <w:sz w:val="28"/>
          <w:szCs w:val="28"/>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坚持以项目建设为重点，狠抓土地储备，对上快争快跑要地、对内拆违拆迁腾地，盘活存量，用好增量</w:t>
      </w:r>
      <w:r>
        <w:rPr>
          <w:rFonts w:hint="eastAsia" w:ascii="Times New Roman" w:hAnsi="Times New Roman" w:eastAsia="仿宋_GB2312" w:cs="Times New Roman"/>
          <w:color w:val="000000" w:themeColor="text1"/>
          <w:sz w:val="28"/>
          <w:szCs w:val="28"/>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开展集体经营性建设用地入市工作，多途径、多方式挖潜存量土地，保障项目用地需求</w:t>
      </w:r>
      <w:r>
        <w:rPr>
          <w:rFonts w:hint="eastAsia" w:ascii="Times New Roman" w:hAnsi="Times New Roman" w:eastAsia="仿宋_GB2312" w:cs="Times New Roman"/>
          <w:color w:val="000000" w:themeColor="text1"/>
          <w:sz w:val="28"/>
          <w:szCs w:val="28"/>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努力实现“地等项目”</w:t>
      </w:r>
      <w:r>
        <w:rPr>
          <w:rFonts w:hint="eastAsia" w:ascii="Times New Roman" w:hAnsi="Times New Roman" w:eastAsia="仿宋_GB2312" w:cs="Times New Roman"/>
          <w:color w:val="000000" w:themeColor="text1"/>
          <w:sz w:val="28"/>
          <w:szCs w:val="28"/>
          <w14:textFill>
            <w14:solidFill>
              <w14:schemeClr w14:val="tx1"/>
            </w14:solidFill>
          </w14:textFill>
        </w:rPr>
        <w:t>。</w:t>
      </w:r>
      <w:r>
        <w:rPr>
          <w:rFonts w:ascii="Times New Roman" w:hAnsi="Times New Roman" w:eastAsia="仿宋_GB2312" w:cs="Times New Roman"/>
          <w:b/>
          <w:bCs/>
          <w:color w:val="000000" w:themeColor="text1"/>
          <w:kern w:val="2"/>
          <w:sz w:val="28"/>
          <w:szCs w:val="28"/>
          <w14:textFill>
            <w14:solidFill>
              <w14:schemeClr w14:val="tx1"/>
            </w14:solidFill>
          </w14:textFill>
        </w:rPr>
        <w:t>加快“五未”低效土地清理</w:t>
      </w:r>
      <w:r>
        <w:rPr>
          <w:rFonts w:hint="eastAsia" w:ascii="Times New Roman" w:hAnsi="Times New Roman" w:eastAsia="仿宋_GB2312" w:cs="Times New Roman"/>
          <w:b/>
          <w:bCs/>
          <w:color w:val="000000" w:themeColor="text1"/>
          <w:kern w:val="2"/>
          <w:sz w:val="28"/>
          <w:szCs w:val="28"/>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综合运用行政、法律、市场手段，统筹落实置换、回收、分割、重组、退出等清理措施，一企一策、分类施治，采取差别化政策消化到位。</w:t>
      </w:r>
      <w:r>
        <w:rPr>
          <w:rFonts w:ascii="Times New Roman" w:hAnsi="Times New Roman" w:eastAsia="仿宋_GB2312" w:cs="Times New Roman"/>
          <w:b/>
          <w:bCs/>
          <w:color w:val="000000" w:themeColor="text1"/>
          <w:sz w:val="28"/>
          <w:szCs w:val="28"/>
          <w14:textFill>
            <w14:solidFill>
              <w14:schemeClr w14:val="tx1"/>
            </w14:solidFill>
          </w14:textFill>
        </w:rPr>
        <w:t>提高土地效益</w:t>
      </w:r>
      <w:r>
        <w:rPr>
          <w:rFonts w:hint="eastAsia" w:ascii="Times New Roman" w:hAnsi="Times New Roman" w:eastAsia="仿宋_GB2312" w:cs="Times New Roman"/>
          <w:b/>
          <w:bCs/>
          <w:color w:val="000000" w:themeColor="text1"/>
          <w:sz w:val="28"/>
          <w:szCs w:val="28"/>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坚持“有限空间、无限发展”理念，全面落实“亩均论英雄”综合评价机制，最大限度地挖潜土地效益，实现自然资源集约节约利用。</w:t>
      </w:r>
      <w:r>
        <w:rPr>
          <w:rFonts w:hint="eastAsia" w:ascii="Times New Roman" w:hAnsi="Times New Roman" w:eastAsia="仿宋_GB2312" w:cs="Times New Roman"/>
          <w:b/>
          <w:bCs/>
          <w:color w:val="000000" w:themeColor="text1"/>
          <w:sz w:val="28"/>
          <w:szCs w:val="28"/>
          <w14:textFill>
            <w14:solidFill>
              <w14:schemeClr w14:val="tx1"/>
            </w14:solidFill>
          </w14:textFill>
        </w:rPr>
        <w:t>完善土地资源市场。</w:t>
      </w:r>
      <w:r>
        <w:rPr>
          <w:rFonts w:ascii="Times New Roman" w:hAnsi="Times New Roman" w:eastAsia="仿宋_GB2312" w:cs="Times New Roman"/>
          <w:color w:val="000000" w:themeColor="text1"/>
          <w:sz w:val="28"/>
          <w:szCs w:val="28"/>
          <w14:textFill>
            <w14:solidFill>
              <w14:schemeClr w14:val="tx1"/>
            </w14:solidFill>
          </w14:textFill>
        </w:rPr>
        <w:t>完善自然资源资产的转让、租赁、抵押二级交易市场规则，推进自然资源资产二级交易平台和服务体系建设，进一步增强自然资源保障和服务能力。</w:t>
      </w:r>
      <w:r>
        <w:rPr>
          <w:rFonts w:hint="eastAsia" w:ascii="仿宋_GB2312" w:hAnsi="仿宋_GB2312" w:eastAsia="仿宋_GB2312" w:cs="仿宋_GB2312"/>
          <w:color w:val="000000" w:themeColor="text1"/>
          <w:sz w:val="28"/>
          <w:szCs w:val="28"/>
          <w14:textFill>
            <w14:solidFill>
              <w14:schemeClr w14:val="tx1"/>
            </w14:solidFill>
          </w14:textFill>
        </w:rPr>
        <w:t>有序推进农村用地管理制度改革，逐步建立城乡统一的土地市场。</w:t>
      </w:r>
    </w:p>
    <w:p w14:paraId="04045FBC">
      <w:pPr>
        <w:keepNext w:val="0"/>
        <w:keepLines w:val="0"/>
        <w:pageBreakBefore w:val="0"/>
        <w:widowControl w:val="0"/>
        <w:kinsoku/>
        <w:wordWrap/>
        <w:overflowPunct/>
        <w:topLinePunct w:val="0"/>
        <w:autoSpaceDE/>
        <w:autoSpaceDN/>
        <w:bidi w:val="0"/>
        <w:spacing w:line="560" w:lineRule="exact"/>
        <w:ind w:firstLine="562" w:firstLineChars="200"/>
        <w:textAlignment w:val="auto"/>
        <w:rPr>
          <w:rFonts w:hint="eastAsia" w:ascii="Times New Roman" w:hAnsi="Times New Roman" w:eastAsia="仿宋_GB2312" w:cs="Times New Roman"/>
          <w:b/>
          <w:color w:val="000000" w:themeColor="text1"/>
          <w:sz w:val="28"/>
          <w:szCs w:val="28"/>
          <w14:textFill>
            <w14:solidFill>
              <w14:schemeClr w14:val="tx1"/>
            </w14:solidFill>
          </w14:textFill>
        </w:rPr>
      </w:pPr>
      <w:r>
        <w:rPr>
          <w:rFonts w:hint="eastAsia" w:ascii="Times New Roman" w:hAnsi="Times New Roman" w:eastAsia="仿宋_GB2312" w:cs="Times New Roman"/>
          <w:b/>
          <w:color w:val="000000" w:themeColor="text1"/>
          <w:sz w:val="28"/>
          <w:szCs w:val="28"/>
          <w:lang w:val="en-US" w:eastAsia="zh-CN"/>
          <w14:textFill>
            <w14:solidFill>
              <w14:schemeClr w14:val="tx1"/>
            </w14:solidFill>
          </w14:textFill>
        </w:rPr>
        <w:t>2.</w:t>
      </w:r>
      <w:r>
        <w:rPr>
          <w:rFonts w:hint="eastAsia" w:ascii="Times New Roman" w:hAnsi="Times New Roman" w:eastAsia="仿宋_GB2312" w:cs="Times New Roman"/>
          <w:b/>
          <w:color w:val="000000" w:themeColor="text1"/>
          <w:sz w:val="28"/>
          <w:szCs w:val="28"/>
          <w14:textFill>
            <w14:solidFill>
              <w14:schemeClr w14:val="tx1"/>
            </w14:solidFill>
          </w14:textFill>
        </w:rPr>
        <w:t>强化资金要素保障</w:t>
      </w:r>
    </w:p>
    <w:p w14:paraId="72DA78F2">
      <w:pPr>
        <w:keepNext w:val="0"/>
        <w:keepLines w:val="0"/>
        <w:pageBreakBefore w:val="0"/>
        <w:widowControl w:val="0"/>
        <w:kinsoku/>
        <w:wordWrap/>
        <w:overflowPunct/>
        <w:topLinePunct w:val="0"/>
        <w:autoSpaceDE/>
        <w:autoSpaceDN/>
        <w:bidi w:val="0"/>
        <w:spacing w:line="560" w:lineRule="exact"/>
        <w:ind w:firstLine="562" w:firstLineChars="200"/>
        <w:textAlignment w:val="auto"/>
        <w:rPr>
          <w:rFonts w:ascii="仿宋_GB2312" w:hAnsi="仿宋_GB2312" w:eastAsia="仿宋_GB2312" w:cs="仿宋_GB2312"/>
          <w:color w:val="000000" w:themeColor="text1"/>
          <w:kern w:val="0"/>
          <w:sz w:val="28"/>
          <w:szCs w:val="28"/>
          <w:lang w:bidi="ar"/>
          <w14:textFill>
            <w14:solidFill>
              <w14:schemeClr w14:val="tx1"/>
            </w14:solidFill>
          </w14:textFill>
        </w:rPr>
      </w:pPr>
      <w:r>
        <w:rPr>
          <w:rFonts w:hint="eastAsia" w:ascii="Times New Roman" w:hAnsi="Times New Roman" w:eastAsia="仿宋_GB2312" w:cs="Times New Roman"/>
          <w:b/>
          <w:color w:val="000000" w:themeColor="text1"/>
          <w:sz w:val="28"/>
          <w:szCs w:val="28"/>
          <w14:textFill>
            <w14:solidFill>
              <w14:schemeClr w14:val="tx1"/>
            </w14:solidFill>
          </w14:textFill>
        </w:rPr>
        <w:t>一是着力破解企业融资难题。</w:t>
      </w:r>
      <w:r>
        <w:rPr>
          <w:rFonts w:hint="eastAsia" w:ascii="仿宋_GB2312" w:hAnsi="仿宋_GB2312" w:eastAsia="仿宋_GB2312" w:cs="仿宋_GB2312"/>
          <w:color w:val="000000" w:themeColor="text1"/>
          <w:sz w:val="28"/>
          <w:szCs w:val="28"/>
          <w14:textFill>
            <w14:solidFill>
              <w14:schemeClr w14:val="tx1"/>
            </w14:solidFill>
          </w14:textFill>
        </w:rPr>
        <w:t>建立县城各银行金融机构对接重点项目清单管理制度，成立县域产融促进中心，实现银企高效无缝对接，探索建立产业纾困基金。积极引导金融资本服务实体经济，设立县级信用金融服务平台，鼓励金融机构创新信用信贷产品，破解中小企业抵押贷款难题；设立金融超市，积极引进县内外金融机构，开展绿色金融、科技金融、普惠金融、供应链金融等多元化信贷服务，破解融资难、融资贵问题；推广无还本续贷，运营好转贷基金，破解企业续贷难问题。</w:t>
      </w:r>
      <w:bookmarkStart w:id="169" w:name="_Hlk63337754"/>
      <w:r>
        <w:rPr>
          <w:rFonts w:hint="eastAsia" w:ascii="仿宋_GB2312" w:hAnsi="仿宋_GB2312" w:eastAsia="仿宋_GB2312" w:cs="仿宋_GB2312"/>
          <w:color w:val="000000" w:themeColor="text1"/>
          <w:sz w:val="28"/>
          <w:szCs w:val="28"/>
          <w14:textFill>
            <w14:solidFill>
              <w14:schemeClr w14:val="tx1"/>
            </w14:solidFill>
          </w14:textFill>
        </w:rPr>
        <w:t>力争“十四五”末，各项贷款余额达到</w:t>
      </w:r>
      <w:r>
        <w:rPr>
          <w:rFonts w:ascii="仿宋_GB2312" w:hAnsi="仿宋_GB2312" w:eastAsia="仿宋_GB2312" w:cs="仿宋_GB2312"/>
          <w:color w:val="000000" w:themeColor="text1"/>
          <w:sz w:val="28"/>
          <w:szCs w:val="28"/>
          <w14:textFill>
            <w14:solidFill>
              <w14:schemeClr w14:val="tx1"/>
            </w14:solidFill>
          </w14:textFill>
        </w:rPr>
        <w:t>205</w:t>
      </w:r>
      <w:r>
        <w:rPr>
          <w:rFonts w:hint="eastAsia" w:ascii="Times New Roman" w:hAnsi="Times New Roman" w:eastAsia="仿宋_GB2312" w:cs="Times New Roman"/>
          <w:color w:val="000000" w:themeColor="text1"/>
          <w:sz w:val="28"/>
          <w:szCs w:val="28"/>
          <w14:textFill>
            <w14:solidFill>
              <w14:schemeClr w14:val="tx1"/>
            </w14:solidFill>
          </w14:textFill>
        </w:rPr>
        <w:t>亿元以上，贷款增速位居全市前列。</w:t>
      </w:r>
      <w:bookmarkEnd w:id="169"/>
      <w:r>
        <w:rPr>
          <w:rFonts w:hint="eastAsia" w:ascii="Times New Roman" w:hAnsi="Times New Roman" w:eastAsia="仿宋_GB2312" w:cs="Times New Roman"/>
          <w:b/>
          <w:bCs/>
          <w:color w:val="000000" w:themeColor="text1"/>
          <w:sz w:val="28"/>
          <w:szCs w:val="28"/>
          <w14:textFill>
            <w14:solidFill>
              <w14:schemeClr w14:val="tx1"/>
            </w14:solidFill>
          </w14:textFill>
        </w:rPr>
        <w:t>二是积极引导企业上市融资。</w:t>
      </w:r>
      <w:r>
        <w:rPr>
          <w:rFonts w:hint="eastAsia" w:ascii="Times New Roman" w:hAnsi="Times New Roman" w:eastAsia="仿宋_GB2312" w:cs="Times New Roman"/>
          <w:color w:val="000000" w:themeColor="text1"/>
          <w:sz w:val="28"/>
          <w:szCs w:val="28"/>
          <w14:textFill>
            <w14:solidFill>
              <w14:schemeClr w14:val="tx1"/>
            </w14:solidFill>
          </w14:textFill>
        </w:rPr>
        <w:t>邀请国家、省市专家对我县上市意向企业开展培训，不断调整和充实我县后备挂牌上市企业资源库，培育更多挂牌上市企业。选择经营状况良好，公司管理规范，上市意愿较强的企业开展挂牌上市工作。</w:t>
      </w:r>
      <w:r>
        <w:rPr>
          <w:rFonts w:hint="eastAsia" w:ascii="仿宋_GB2312" w:hAnsi="仿宋_GB2312" w:eastAsia="仿宋_GB2312" w:cs="仿宋_GB2312"/>
          <w:color w:val="000000" w:themeColor="text1"/>
          <w:kern w:val="0"/>
          <w:sz w:val="28"/>
          <w:szCs w:val="28"/>
          <w:lang w:bidi="ar"/>
          <w14:textFill>
            <w14:solidFill>
              <w14:schemeClr w14:val="tx1"/>
            </w14:solidFill>
          </w14:textFill>
        </w:rPr>
        <w:t>加快亿利橡塑主板上市和中航上大科创板上市进程，推动大中型企业实施股改工作。</w:t>
      </w:r>
    </w:p>
    <w:p w14:paraId="6A799117">
      <w:pPr>
        <w:pStyle w:val="23"/>
        <w:keepNext w:val="0"/>
        <w:keepLines w:val="0"/>
        <w:pageBreakBefore w:val="0"/>
        <w:widowControl w:val="0"/>
        <w:kinsoku/>
        <w:wordWrap/>
        <w:overflowPunct/>
        <w:topLinePunct w:val="0"/>
        <w:autoSpaceDE/>
        <w:autoSpaceDN/>
        <w:bidi w:val="0"/>
        <w:spacing w:before="0" w:beforeAutospacing="0" w:after="0" w:afterAutospacing="0" w:line="560" w:lineRule="exact"/>
        <w:ind w:firstLine="562" w:firstLineChars="200"/>
        <w:jc w:val="both"/>
        <w:textAlignment w:val="auto"/>
        <w:rPr>
          <w:rFonts w:hint="eastAsia" w:ascii="Times New Roman" w:hAnsi="Times New Roman" w:eastAsia="仿宋_GB2312" w:cs="Times New Roman"/>
          <w:b/>
          <w:color w:val="000000" w:themeColor="text1"/>
          <w:kern w:val="2"/>
          <w:sz w:val="28"/>
          <w:szCs w:val="28"/>
          <w14:textFill>
            <w14:solidFill>
              <w14:schemeClr w14:val="tx1"/>
            </w14:solidFill>
          </w14:textFill>
        </w:rPr>
      </w:pPr>
      <w:r>
        <w:rPr>
          <w:rFonts w:hint="eastAsia" w:ascii="Times New Roman" w:hAnsi="Times New Roman" w:eastAsia="仿宋_GB2312" w:cs="Times New Roman"/>
          <w:b/>
          <w:color w:val="000000" w:themeColor="text1"/>
          <w:kern w:val="2"/>
          <w:sz w:val="28"/>
          <w:szCs w:val="28"/>
          <w:lang w:val="en-US" w:eastAsia="zh-CN"/>
          <w14:textFill>
            <w14:solidFill>
              <w14:schemeClr w14:val="tx1"/>
            </w14:solidFill>
          </w14:textFill>
        </w:rPr>
        <w:t>3.</w:t>
      </w:r>
      <w:r>
        <w:rPr>
          <w:rFonts w:hint="eastAsia" w:ascii="Times New Roman" w:hAnsi="Times New Roman" w:eastAsia="仿宋_GB2312" w:cs="Times New Roman"/>
          <w:b/>
          <w:color w:val="000000" w:themeColor="text1"/>
          <w:kern w:val="2"/>
          <w:sz w:val="28"/>
          <w:szCs w:val="28"/>
          <w14:textFill>
            <w14:solidFill>
              <w14:schemeClr w14:val="tx1"/>
            </w14:solidFill>
          </w14:textFill>
        </w:rPr>
        <w:t>用好用足上级支持政策</w:t>
      </w:r>
    </w:p>
    <w:p w14:paraId="6EE5D5F8">
      <w:pPr>
        <w:pStyle w:val="23"/>
        <w:keepNext w:val="0"/>
        <w:keepLines w:val="0"/>
        <w:pageBreakBefore w:val="0"/>
        <w:widowControl w:val="0"/>
        <w:kinsoku/>
        <w:wordWrap/>
        <w:overflowPunct/>
        <w:topLinePunct w:val="0"/>
        <w:autoSpaceDE/>
        <w:autoSpaceDN/>
        <w:bidi w:val="0"/>
        <w:spacing w:before="0" w:beforeAutospacing="0" w:after="0" w:afterAutospacing="0" w:line="560" w:lineRule="exact"/>
        <w:ind w:firstLine="560" w:firstLineChars="200"/>
        <w:jc w:val="both"/>
        <w:textAlignment w:val="auto"/>
        <w:rPr>
          <w:rFonts w:ascii="Times New Roman" w:hAnsi="Times New Roman" w:eastAsia="仿宋_GB2312" w:cs="Times New Roman"/>
          <w:color w:val="000000" w:themeColor="text1"/>
          <w:spacing w:val="6"/>
          <w:kern w:val="2"/>
          <w:sz w:val="28"/>
          <w:szCs w:val="28"/>
          <w14:textFill>
            <w14:solidFill>
              <w14:schemeClr w14:val="tx1"/>
            </w14:solidFill>
          </w14:textFill>
        </w:rPr>
      </w:pPr>
      <w:r>
        <w:rPr>
          <w:rFonts w:hint="eastAsia" w:ascii="Times New Roman" w:hAnsi="Times New Roman" w:eastAsia="仿宋_GB2312" w:cs="Times New Roman"/>
          <w:color w:val="000000" w:themeColor="text1"/>
          <w:kern w:val="2"/>
          <w:sz w:val="28"/>
          <w:szCs w:val="28"/>
          <w14:textFill>
            <w14:solidFill>
              <w14:schemeClr w14:val="tx1"/>
            </w14:solidFill>
          </w14:textFill>
        </w:rPr>
        <w:t>深入研究国家、省、市发展战略方向，有重点、有计划地建设若干项目库</w:t>
      </w:r>
      <w:r>
        <w:rPr>
          <w:rFonts w:hint="eastAsia" w:ascii="Times New Roman" w:hAnsi="Times New Roman" w:eastAsia="仿宋_GB2312" w:cs="Times New Roman"/>
          <w:color w:val="000000" w:themeColor="text1"/>
          <w:spacing w:val="6"/>
          <w:kern w:val="2"/>
          <w:sz w:val="28"/>
          <w:szCs w:val="28"/>
          <w14:textFill>
            <w14:solidFill>
              <w14:schemeClr w14:val="tx1"/>
            </w14:solidFill>
          </w14:textFill>
        </w:rPr>
        <w:t>，提升项目储备潜力。准确把握上级项目资金投向，</w:t>
      </w:r>
      <w:r>
        <w:rPr>
          <w:rFonts w:ascii="Times New Roman" w:hAnsi="Times New Roman" w:eastAsia="仿宋_GB2312" w:cs="Times New Roman"/>
          <w:color w:val="000000" w:themeColor="text1"/>
          <w:spacing w:val="6"/>
          <w:kern w:val="2"/>
          <w:sz w:val="28"/>
          <w:szCs w:val="28"/>
          <w14:textFill>
            <w14:solidFill>
              <w14:schemeClr w14:val="tx1"/>
            </w14:solidFill>
          </w14:textFill>
        </w:rPr>
        <w:t>不断完善项目手续，</w:t>
      </w:r>
      <w:r>
        <w:rPr>
          <w:rFonts w:hint="eastAsia" w:ascii="Times New Roman" w:hAnsi="Times New Roman" w:eastAsia="仿宋_GB2312" w:cs="Times New Roman"/>
          <w:color w:val="000000" w:themeColor="text1"/>
          <w:spacing w:val="6"/>
          <w:kern w:val="2"/>
          <w:sz w:val="28"/>
          <w:szCs w:val="28"/>
          <w14:textFill>
            <w14:solidFill>
              <w14:schemeClr w14:val="tx1"/>
            </w14:solidFill>
          </w14:textFill>
        </w:rPr>
        <w:t>做好项目前期准备，</w:t>
      </w:r>
      <w:r>
        <w:rPr>
          <w:rFonts w:ascii="Times New Roman" w:hAnsi="Times New Roman" w:eastAsia="仿宋_GB2312" w:cs="Times New Roman"/>
          <w:color w:val="000000" w:themeColor="text1"/>
          <w:spacing w:val="6"/>
          <w:kern w:val="2"/>
          <w:sz w:val="28"/>
          <w:szCs w:val="28"/>
          <w14:textFill>
            <w14:solidFill>
              <w14:schemeClr w14:val="tx1"/>
            </w14:solidFill>
          </w14:textFill>
        </w:rPr>
        <w:t>有针对性地申报和争取项目资金</w:t>
      </w:r>
      <w:r>
        <w:rPr>
          <w:rFonts w:hint="eastAsia" w:ascii="Times New Roman" w:hAnsi="Times New Roman" w:eastAsia="仿宋_GB2312" w:cs="Times New Roman"/>
          <w:color w:val="000000" w:themeColor="text1"/>
          <w:spacing w:val="6"/>
          <w:kern w:val="2"/>
          <w:sz w:val="28"/>
          <w:szCs w:val="28"/>
          <w14:textFill>
            <w14:solidFill>
              <w14:schemeClr w14:val="tx1"/>
            </w14:solidFill>
          </w14:textFill>
        </w:rPr>
        <w:t>。积极引入高端中介服务机构，为项目库项目提供各类咨询、策划、包装等专业第三方服务，提升项目申报规范性、科学性。谋划“常规项目日历”，依据常规项目每年申报时间窗口，设定谋划日、准备日、论证日、完善日、申报日等重要节点，制作项目日历，印发全县各部门单位，实施挂图作战和流程管理。</w:t>
      </w:r>
    </w:p>
    <w:p w14:paraId="4DFDD38A">
      <w:pPr>
        <w:keepNext w:val="0"/>
        <w:keepLines w:val="0"/>
        <w:pageBreakBefore w:val="0"/>
        <w:widowControl w:val="0"/>
        <w:kinsoku/>
        <w:wordWrap/>
        <w:overflowPunct/>
        <w:topLinePunct w:val="0"/>
        <w:autoSpaceDE/>
        <w:autoSpaceDN/>
        <w:bidi w:val="0"/>
        <w:spacing w:line="560" w:lineRule="exact"/>
        <w:ind w:firstLine="560" w:firstLineChars="200"/>
        <w:textAlignment w:val="auto"/>
        <w:outlineLvl w:val="2"/>
        <w:rPr>
          <w:rFonts w:ascii="楷体_GB2312" w:hAnsi="楷体_GB2312" w:eastAsia="楷体_GB2312" w:cs="楷体_GB2312"/>
          <w:b w:val="0"/>
          <w:bCs/>
          <w:color w:val="000000" w:themeColor="text1"/>
          <w:kern w:val="0"/>
          <w:sz w:val="28"/>
          <w:szCs w:val="28"/>
          <w14:textFill>
            <w14:solidFill>
              <w14:schemeClr w14:val="tx1"/>
            </w14:solidFill>
          </w14:textFill>
        </w:rPr>
      </w:pPr>
      <w:bookmarkStart w:id="170" w:name="_Toc12338"/>
      <w:r>
        <w:rPr>
          <w:rFonts w:hint="eastAsia" w:ascii="楷体_GB2312" w:hAnsi="楷体_GB2312" w:eastAsia="楷体_GB2312" w:cs="楷体_GB2312"/>
          <w:b w:val="0"/>
          <w:bCs/>
          <w:color w:val="000000" w:themeColor="text1"/>
          <w:kern w:val="0"/>
          <w:sz w:val="28"/>
          <w:szCs w:val="28"/>
          <w14:textFill>
            <w14:solidFill>
              <w14:schemeClr w14:val="tx1"/>
            </w14:solidFill>
          </w14:textFill>
        </w:rPr>
        <w:t>（四）借力京津，融入全国大循环双循环格局</w:t>
      </w:r>
      <w:bookmarkEnd w:id="170"/>
    </w:p>
    <w:p w14:paraId="64783BA9">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ascii="仿宋_GB2312" w:hAnsi="仿宋" w:eastAsia="仿宋_GB2312" w:cs="宋体"/>
          <w:color w:val="000000" w:themeColor="text1"/>
          <w:kern w:val="0"/>
          <w:sz w:val="28"/>
          <w:szCs w:val="28"/>
          <w14:textFill>
            <w14:solidFill>
              <w14:schemeClr w14:val="tx1"/>
            </w14:solidFill>
          </w14:textFill>
        </w:rPr>
      </w:pPr>
      <w:r>
        <w:rPr>
          <w:rFonts w:hint="eastAsia" w:ascii="仿宋_GB2312" w:hAnsi="仿宋" w:eastAsia="仿宋_GB2312" w:cs="宋体"/>
          <w:color w:val="000000" w:themeColor="text1"/>
          <w:kern w:val="0"/>
          <w:sz w:val="28"/>
          <w:szCs w:val="28"/>
          <w14:textFill>
            <w14:solidFill>
              <w14:schemeClr w14:val="tx1"/>
            </w14:solidFill>
          </w14:textFill>
        </w:rPr>
        <w:t>抢抓京津冀协同发展纵深推进的历史机遇，坚持主动对接、深度融入，高水平承接京津产业转移和功能疏解，推动与京津协同发展实现新突破，为全县高质量赶超发展增添新动能。</w:t>
      </w:r>
      <w:bookmarkStart w:id="171" w:name="_Toc32373"/>
      <w:bookmarkStart w:id="172" w:name="_Toc12577"/>
      <w:r>
        <w:rPr>
          <w:rFonts w:hint="eastAsia" w:ascii="Times New Roman" w:hAnsi="Times New Roman" w:eastAsia="仿宋_GB2312" w:cs="Times New Roman"/>
          <w:b/>
          <w:color w:val="000000" w:themeColor="text1"/>
          <w:sz w:val="28"/>
          <w:szCs w:val="28"/>
          <w14:textFill>
            <w14:solidFill>
              <w14:schemeClr w14:val="tx1"/>
            </w14:solidFill>
          </w14:textFill>
        </w:rPr>
        <w:t>打造京津中高端制造业转移承接地</w:t>
      </w:r>
      <w:bookmarkEnd w:id="171"/>
      <w:bookmarkEnd w:id="172"/>
      <w:r>
        <w:rPr>
          <w:rFonts w:hint="eastAsia" w:ascii="Times New Roman" w:hAnsi="Times New Roman" w:eastAsia="仿宋_GB2312" w:cs="Times New Roman"/>
          <w:b/>
          <w:color w:val="000000" w:themeColor="text1"/>
          <w:sz w:val="28"/>
          <w:szCs w:val="28"/>
          <w14:textFill>
            <w14:solidFill>
              <w14:schemeClr w14:val="tx1"/>
            </w14:solidFill>
          </w14:textFill>
        </w:rPr>
        <w:t>。</w:t>
      </w:r>
      <w:r>
        <w:rPr>
          <w:rFonts w:hint="eastAsia" w:ascii="Times New Roman" w:hAnsi="Times New Roman" w:eastAsia="仿宋_GB2312" w:cs="Times New Roman"/>
          <w:color w:val="000000" w:themeColor="text1"/>
          <w:sz w:val="28"/>
          <w:szCs w:val="28"/>
          <w14:textFill>
            <w14:solidFill>
              <w14:schemeClr w14:val="tx1"/>
            </w14:solidFill>
          </w14:textFill>
        </w:rPr>
        <w:t>加强与京津园区、企业、科研机构等对接合作，及时跟踪了解各类市场主体和先进要素等转移流动趋势，吸引承接更多高端制造项目和科技成果产业化项目。采取以企引企、以商招商方式，推动其上下游关联配套产业项目向我县转移，形成链式组团化转移格局。积极参加北京“科博会”、京邢对接合作洽谈会、民营经济项目洽谈会、邢台投资环境和产业招商项目推介会等重大活动，加强宣传推介，承接一批引领性、带动性、示范性强的重大项目。</w:t>
      </w:r>
      <w:bookmarkStart w:id="173" w:name="_Toc6426"/>
      <w:bookmarkStart w:id="174" w:name="_Toc13345"/>
      <w:r>
        <w:rPr>
          <w:rFonts w:hint="eastAsia" w:ascii="Times New Roman" w:hAnsi="Times New Roman" w:eastAsia="仿宋_GB2312" w:cs="Times New Roman"/>
          <w:b/>
          <w:color w:val="000000" w:themeColor="text1"/>
          <w:sz w:val="28"/>
          <w:szCs w:val="28"/>
          <w14:textFill>
            <w14:solidFill>
              <w14:schemeClr w14:val="tx1"/>
            </w14:solidFill>
          </w14:textFill>
        </w:rPr>
        <w:t>全方位提升产业承接能力</w:t>
      </w:r>
      <w:bookmarkEnd w:id="173"/>
      <w:bookmarkEnd w:id="174"/>
      <w:r>
        <w:rPr>
          <w:rFonts w:hint="eastAsia" w:ascii="Times New Roman" w:hAnsi="Times New Roman" w:eastAsia="仿宋_GB2312" w:cs="Times New Roman"/>
          <w:b/>
          <w:color w:val="000000" w:themeColor="text1"/>
          <w:sz w:val="28"/>
          <w:szCs w:val="28"/>
          <w14:textFill>
            <w14:solidFill>
              <w14:schemeClr w14:val="tx1"/>
            </w14:solidFill>
          </w14:textFill>
        </w:rPr>
        <w:t>。</w:t>
      </w:r>
      <w:r>
        <w:rPr>
          <w:rFonts w:hint="eastAsia" w:ascii="仿宋_GB2312" w:hAnsi="仿宋" w:eastAsia="仿宋_GB2312" w:cs="宋体"/>
          <w:color w:val="000000" w:themeColor="text1"/>
          <w:kern w:val="0"/>
          <w:sz w:val="28"/>
          <w:szCs w:val="28"/>
          <w14:textFill>
            <w14:solidFill>
              <w14:schemeClr w14:val="tx1"/>
            </w14:solidFill>
          </w14:textFill>
        </w:rPr>
        <w:t>推进经济开发区重点承接平台建设，推动承载力全面升级，争创全省协同发展“微中心”。以“飞地开发”、共建“伙伴园区”等方式，</w:t>
      </w:r>
      <w:r>
        <w:rPr>
          <w:rFonts w:hint="eastAsia" w:ascii="仿宋_GB2312" w:eastAsia="仿宋_GB2312" w:cs="宋体"/>
          <w:color w:val="000000" w:themeColor="text1"/>
          <w:sz w:val="28"/>
          <w:szCs w:val="28"/>
          <w14:textFill>
            <w14:solidFill>
              <w14:schemeClr w14:val="tx1"/>
            </w14:solidFill>
          </w14:textFill>
        </w:rPr>
        <w:t>吸引京津先进制造业项目和科技创新成果在我县孵化落地，</w:t>
      </w:r>
      <w:r>
        <w:rPr>
          <w:rFonts w:hint="eastAsia" w:ascii="仿宋_GB2312" w:hAnsi="仿宋" w:eastAsia="仿宋_GB2312" w:cs="宋体"/>
          <w:color w:val="000000" w:themeColor="text1"/>
          <w:kern w:val="0"/>
          <w:sz w:val="28"/>
          <w:szCs w:val="28"/>
          <w14:textFill>
            <w14:solidFill>
              <w14:schemeClr w14:val="tx1"/>
            </w14:solidFill>
          </w14:textFill>
        </w:rPr>
        <w:t>打造京津科技成果转化高地。完善京津疏解转移项目落地发展服务体系，提升京津转移项目用地、资金等要素保障能力。</w:t>
      </w:r>
    </w:p>
    <w:p w14:paraId="478FF885">
      <w:pPr>
        <w:pStyle w:val="5"/>
        <w:keepNext w:val="0"/>
        <w:keepLines w:val="0"/>
        <w:pageBreakBefore w:val="0"/>
        <w:widowControl w:val="0"/>
        <w:kinsoku/>
        <w:wordWrap/>
        <w:overflowPunct/>
        <w:topLinePunct w:val="0"/>
        <w:autoSpaceDE/>
        <w:autoSpaceDN/>
        <w:bidi w:val="0"/>
        <w:spacing w:before="0" w:after="0" w:line="560" w:lineRule="exact"/>
        <w:ind w:firstLine="560" w:firstLineChars="200"/>
        <w:textAlignment w:val="auto"/>
        <w:rPr>
          <w:rFonts w:ascii="黑体" w:hAnsi="黑体" w:eastAsia="黑体"/>
          <w:b w:val="0"/>
          <w:bCs w:val="0"/>
          <w:color w:val="000000" w:themeColor="text1"/>
          <w:sz w:val="28"/>
          <w:szCs w:val="28"/>
          <w14:textFill>
            <w14:solidFill>
              <w14:schemeClr w14:val="tx1"/>
            </w14:solidFill>
          </w14:textFill>
        </w:rPr>
      </w:pPr>
      <w:bookmarkStart w:id="175" w:name="_Toc11680"/>
      <w:bookmarkStart w:id="176" w:name="_Toc32458"/>
      <w:bookmarkStart w:id="177" w:name="_Toc16623"/>
      <w:bookmarkStart w:id="178" w:name="_Toc7453"/>
      <w:r>
        <w:rPr>
          <w:rFonts w:hint="eastAsia" w:ascii="黑体" w:hAnsi="黑体" w:eastAsia="黑体"/>
          <w:b w:val="0"/>
          <w:bCs w:val="0"/>
          <w:color w:val="000000" w:themeColor="text1"/>
          <w:sz w:val="28"/>
          <w:szCs w:val="28"/>
          <w14:textFill>
            <w14:solidFill>
              <w14:schemeClr w14:val="tx1"/>
            </w14:solidFill>
          </w14:textFill>
        </w:rPr>
        <w:t>五、聚焦产业升级，打造高质量赶超发展强引擎</w:t>
      </w:r>
      <w:bookmarkEnd w:id="175"/>
      <w:bookmarkEnd w:id="176"/>
      <w:bookmarkEnd w:id="177"/>
      <w:bookmarkEnd w:id="178"/>
    </w:p>
    <w:p w14:paraId="1D1E5C97">
      <w:pPr>
        <w:keepNext w:val="0"/>
        <w:keepLines w:val="0"/>
        <w:pageBreakBefore w:val="0"/>
        <w:widowControl w:val="0"/>
        <w:kinsoku/>
        <w:wordWrap/>
        <w:overflowPunct/>
        <w:topLinePunct w:val="0"/>
        <w:autoSpaceDE/>
        <w:autoSpaceDN/>
        <w:bidi w:val="0"/>
        <w:spacing w:line="560" w:lineRule="exact"/>
        <w:ind w:firstLine="560" w:firstLineChars="200"/>
        <w:textAlignment w:val="auto"/>
        <w:outlineLvl w:val="2"/>
        <w:rPr>
          <w:rFonts w:ascii="楷体_GB2312" w:hAnsi="楷体_GB2312" w:eastAsia="楷体_GB2312" w:cs="楷体_GB2312"/>
          <w:b w:val="0"/>
          <w:bCs/>
          <w:color w:val="000000" w:themeColor="text1"/>
          <w:kern w:val="0"/>
          <w:sz w:val="28"/>
          <w:szCs w:val="28"/>
          <w14:textFill>
            <w14:solidFill>
              <w14:schemeClr w14:val="tx1"/>
            </w14:solidFill>
          </w14:textFill>
        </w:rPr>
      </w:pPr>
      <w:bookmarkStart w:id="179" w:name="_Toc27030"/>
      <w:r>
        <w:rPr>
          <w:rFonts w:hint="eastAsia" w:ascii="楷体_GB2312" w:hAnsi="楷体_GB2312" w:eastAsia="楷体_GB2312" w:cs="楷体_GB2312"/>
          <w:b w:val="0"/>
          <w:bCs/>
          <w:color w:val="000000" w:themeColor="text1"/>
          <w:kern w:val="0"/>
          <w:sz w:val="28"/>
          <w:szCs w:val="28"/>
          <w14:textFill>
            <w14:solidFill>
              <w14:schemeClr w14:val="tx1"/>
            </w14:solidFill>
          </w14:textFill>
        </w:rPr>
        <w:t>（一）着力推进农业现代化</w:t>
      </w:r>
      <w:bookmarkEnd w:id="179"/>
    </w:p>
    <w:p w14:paraId="0BFB185E">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adjustRightInd w:val="0"/>
        <w:snapToGrid w:val="0"/>
        <w:spacing w:line="560" w:lineRule="exact"/>
        <w:ind w:firstLine="560" w:firstLineChars="200"/>
        <w:textAlignment w:val="auto"/>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全县农业以稳定粮食生产和安全为基础，以农业科技创新为支撑，以“</w:t>
      </w:r>
      <w:r>
        <w:rPr>
          <w:rFonts w:ascii="Times New Roman" w:hAnsi="Times New Roman" w:eastAsia="仿宋_GB2312" w:cs="Times New Roman"/>
          <w:color w:val="000000" w:themeColor="text1"/>
          <w:sz w:val="28"/>
          <w:szCs w:val="28"/>
          <w14:textFill>
            <w14:solidFill>
              <w14:schemeClr w14:val="tx1"/>
            </w14:solidFill>
          </w14:textFill>
        </w:rPr>
        <w:t>千斤粮、万元钱</w:t>
      </w:r>
      <w:r>
        <w:rPr>
          <w:rFonts w:hint="eastAsia" w:ascii="Times New Roman" w:hAnsi="Times New Roman" w:eastAsia="仿宋_GB2312" w:cs="Times New Roman"/>
          <w:color w:val="000000" w:themeColor="text1"/>
          <w:sz w:val="28"/>
          <w:szCs w:val="28"/>
          <w14:textFill>
            <w14:solidFill>
              <w14:schemeClr w14:val="tx1"/>
            </w14:solidFill>
          </w14:textFill>
        </w:rPr>
        <w:t>”为目标，加快农业结构调整，形成西山楂、北瓜果、东蔬菜、南林果粮食和多点养殖的农业生产格局。</w:t>
      </w:r>
    </w:p>
    <w:p w14:paraId="48ABD070">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adjustRightInd w:val="0"/>
        <w:snapToGrid w:val="0"/>
        <w:spacing w:line="560" w:lineRule="exact"/>
        <w:ind w:firstLine="562" w:firstLineChars="200"/>
        <w:textAlignment w:val="auto"/>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1.确保粮食安全</w:t>
      </w:r>
    </w:p>
    <w:p w14:paraId="2BA1D2B2">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adjustRightInd w:val="0"/>
        <w:snapToGrid w:val="0"/>
        <w:spacing w:line="560" w:lineRule="exact"/>
        <w:ind w:firstLine="560" w:firstLineChars="200"/>
        <w:textAlignment w:val="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落实国家粮食安全战略，坚持藏粮于地、藏粮于技，以稳定粮食生产为基础，主攻粮食单产，确保粮食安全。落实最严格耕地保护制度，严防耕地非农化、非粮化，实施5万亩高标准农田建设。强化农业科技支撑，依托粮食作物高产创建项目，积极探索高产技术集成，大力推广高产栽培新技术、新模式。依托农技推广补助项目、测土配方施肥项目，大力提高良种良法覆盖率和土地产出水平，确保粮食总产量稳定。到2025年，全县粮食播种面积稳定在60万亩以上，粮食综合生产能力达到</w:t>
      </w:r>
      <w:r>
        <w:rPr>
          <w:rFonts w:ascii="仿宋_GB2312" w:hAnsi="仿宋_GB2312" w:eastAsia="仿宋_GB2312" w:cs="仿宋_GB2312"/>
          <w:color w:val="000000" w:themeColor="text1"/>
          <w:sz w:val="28"/>
          <w:szCs w:val="28"/>
          <w14:textFill>
            <w14:solidFill>
              <w14:schemeClr w14:val="tx1"/>
            </w14:solidFill>
          </w14:textFill>
        </w:rPr>
        <w:t>28</w:t>
      </w:r>
      <w:r>
        <w:rPr>
          <w:rFonts w:hint="eastAsia" w:ascii="仿宋_GB2312" w:hAnsi="仿宋_GB2312" w:eastAsia="仿宋_GB2312" w:cs="仿宋_GB2312"/>
          <w:color w:val="000000" w:themeColor="text1"/>
          <w:sz w:val="28"/>
          <w:szCs w:val="28"/>
          <w14:textFill>
            <w14:solidFill>
              <w14:schemeClr w14:val="tx1"/>
            </w14:solidFill>
          </w14:textFill>
        </w:rPr>
        <w:t>万吨。</w:t>
      </w:r>
    </w:p>
    <w:p w14:paraId="4FB8CECD">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adjustRightInd w:val="0"/>
        <w:snapToGrid w:val="0"/>
        <w:spacing w:line="560" w:lineRule="exact"/>
        <w:ind w:firstLine="562" w:firstLineChars="200"/>
        <w:textAlignment w:val="auto"/>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2.优化农业结构</w:t>
      </w:r>
    </w:p>
    <w:p w14:paraId="67C77F19">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adjustRightInd w:val="0"/>
        <w:snapToGrid w:val="0"/>
        <w:spacing w:line="560" w:lineRule="exact"/>
        <w:ind w:firstLine="560" w:firstLineChars="200"/>
        <w:textAlignment w:val="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在保障粮食综合生产能力前提下，围绕“千斤粮、万元钱”，加快农业结构调整，增加果树、中药材、设施蔬菜等特色高效作物面积。一是重点抓好中药材、果品两大类优势特色产业，起到示范引领作用。以优势道地和药食同源品种为重点，扎实推进山楂、金银花两大中药材产业建设，重点打造马屯红果、坝营苹果、连庄金银花等特色作物种植，对清河山楂省级特优区实施高标准打造和整体提升。二是依托油坊大蒜、谢炉蔬菜等蔬菜种植基地，扩大设施蔬菜种植面积，到“十四五”末，实现蔬菜种植面积达到3.5万亩以上，总产达到8万吨以上。</w:t>
      </w:r>
    </w:p>
    <w:p w14:paraId="6428DD1C">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adjustRightInd w:val="0"/>
        <w:snapToGrid w:val="0"/>
        <w:spacing w:line="560" w:lineRule="exact"/>
        <w:ind w:firstLine="562" w:firstLineChars="200"/>
        <w:textAlignment w:val="auto"/>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3.推进农业产业化</w:t>
      </w:r>
    </w:p>
    <w:p w14:paraId="61A08460">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adjustRightInd w:val="0"/>
        <w:snapToGrid w:val="0"/>
        <w:spacing w:line="560" w:lineRule="exact"/>
        <w:ind w:firstLine="562" w:firstLineChars="200"/>
        <w:textAlignment w:val="auto"/>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培育精品农业园区。</w:t>
      </w:r>
      <w:r>
        <w:rPr>
          <w:rFonts w:hint="eastAsia" w:ascii="仿宋_GB2312" w:hAnsi="仿宋_GB2312" w:eastAsia="仿宋_GB2312" w:cs="仿宋_GB2312"/>
          <w:color w:val="000000" w:themeColor="text1"/>
          <w:sz w:val="28"/>
          <w:szCs w:val="28"/>
          <w14:textFill>
            <w14:solidFill>
              <w14:schemeClr w14:val="tx1"/>
            </w14:solidFill>
          </w14:textFill>
        </w:rPr>
        <w:t>“十四五”期间，重点推动农业园区提质增效，扩大农业园区覆盖面，重点支持</w:t>
      </w:r>
      <w:r>
        <w:rPr>
          <w:rFonts w:hint="eastAsia" w:ascii="仿宋_GB2312" w:hAnsi="仿宋_GB2312" w:eastAsia="仿宋_GB2312" w:cs="仿宋_GB2312"/>
          <w:color w:val="000000" w:themeColor="text1"/>
          <w:kern w:val="0"/>
          <w:sz w:val="28"/>
          <w:szCs w:val="28"/>
          <w:lang w:val="zh-CN"/>
          <w14:textFill>
            <w14:solidFill>
              <w14:schemeClr w14:val="tx1"/>
            </w14:solidFill>
          </w14:textFill>
        </w:rPr>
        <w:t>清河县现代农业示范园区</w:t>
      </w:r>
      <w:r>
        <w:rPr>
          <w:rFonts w:hint="eastAsia" w:ascii="仿宋_GB2312" w:hAnsi="仿宋_GB2312" w:eastAsia="仿宋_GB2312" w:cs="仿宋_GB2312"/>
          <w:color w:val="000000" w:themeColor="text1"/>
          <w:kern w:val="0"/>
          <w:sz w:val="28"/>
          <w:szCs w:val="28"/>
          <w14:textFill>
            <w14:solidFill>
              <w14:schemeClr w14:val="tx1"/>
            </w14:solidFill>
          </w14:textFill>
        </w:rPr>
        <w:t>争创国家级</w:t>
      </w:r>
      <w:r>
        <w:rPr>
          <w:rFonts w:hint="eastAsia" w:ascii="仿宋_GB2312" w:hAnsi="仿宋_GB2312" w:eastAsia="仿宋_GB2312" w:cs="仿宋_GB2312"/>
          <w:color w:val="000000" w:themeColor="text1"/>
          <w:sz w:val="28"/>
          <w:szCs w:val="28"/>
          <w14:textFill>
            <w14:solidFill>
              <w14:schemeClr w14:val="tx1"/>
            </w14:solidFill>
          </w14:textFill>
        </w:rPr>
        <w:t>精品农业园区，支持</w:t>
      </w:r>
      <w:r>
        <w:rPr>
          <w:rFonts w:hint="eastAsia" w:ascii="仿宋_GB2312" w:hAnsi="仿宋_GB2312" w:eastAsia="仿宋_GB2312" w:cs="仿宋_GB2312"/>
          <w:color w:val="000000" w:themeColor="text1"/>
          <w:kern w:val="0"/>
          <w:sz w:val="28"/>
          <w:szCs w:val="28"/>
          <w:lang w:val="zh-CN"/>
          <w14:textFill>
            <w14:solidFill>
              <w14:schemeClr w14:val="tx1"/>
            </w14:solidFill>
          </w14:textFill>
        </w:rPr>
        <w:t>坝营现代农业示范园区、谢炉镇现代农业示范园区、连庄镇现代农业示范园区、油坊镇现代农业示范园区</w:t>
      </w:r>
      <w:r>
        <w:rPr>
          <w:rFonts w:hint="eastAsia" w:ascii="仿宋_GB2312" w:hAnsi="仿宋_GB2312" w:eastAsia="仿宋_GB2312" w:cs="仿宋_GB2312"/>
          <w:color w:val="000000" w:themeColor="text1"/>
          <w:kern w:val="0"/>
          <w:sz w:val="28"/>
          <w:szCs w:val="28"/>
          <w14:textFill>
            <w14:solidFill>
              <w14:schemeClr w14:val="tx1"/>
            </w14:solidFill>
          </w14:textFill>
        </w:rPr>
        <w:t>争创省级精品农业园区。</w:t>
      </w:r>
      <w:r>
        <w:rPr>
          <w:rFonts w:hint="eastAsia" w:ascii="仿宋_GB2312" w:hAnsi="仿宋_GB2312" w:eastAsia="仿宋_GB2312" w:cs="仿宋_GB2312"/>
          <w:color w:val="000000" w:themeColor="text1"/>
          <w:sz w:val="28"/>
          <w:szCs w:val="28"/>
          <w14:textFill>
            <w14:solidFill>
              <w14:schemeClr w14:val="tx1"/>
            </w14:solidFill>
          </w14:textFill>
        </w:rPr>
        <w:t>力争到2025年，建成各类农业园区达到10个以上，初步形成1（国家级园区）+2（省级园区）+N（市级园区）的现代农业园区格局。</w:t>
      </w:r>
    </w:p>
    <w:p w14:paraId="18AA4873">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adjustRightInd w:val="0"/>
        <w:snapToGrid w:val="0"/>
        <w:spacing w:line="560" w:lineRule="exact"/>
        <w:ind w:firstLine="562" w:firstLineChars="200"/>
        <w:textAlignment w:val="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培强新型经营主体。</w:t>
      </w:r>
      <w:r>
        <w:rPr>
          <w:rFonts w:hint="eastAsia" w:ascii="仿宋_GB2312" w:hAnsi="仿宋_GB2312" w:eastAsia="仿宋_GB2312" w:cs="仿宋_GB2312"/>
          <w:color w:val="000000" w:themeColor="text1"/>
          <w:sz w:val="28"/>
          <w:szCs w:val="28"/>
          <w14:textFill>
            <w14:solidFill>
              <w14:schemeClr w14:val="tx1"/>
            </w14:solidFill>
          </w14:textFill>
        </w:rPr>
        <w:t>支持专业大户、家庭农场、农民专业合作社等多种形式适度规模经营主体；引导经营主体将适度规模经营与农业产业链条延伸有机结合，引导农民通过联合、合作等多种方式发展规模种养业、农产品加工和农村服务业；支持有条件的乡村以农民合作社为主要载体，发展集循环农业、创意农业、农事体验于一体的田园综合体，促进一二三产融合发展。到“十四五”末，</w:t>
      </w:r>
      <w:r>
        <w:rPr>
          <w:rFonts w:hint="eastAsia" w:ascii="仿宋_GB2312" w:hAnsi="仿宋_GB2312" w:eastAsia="仿宋_GB2312" w:cs="仿宋_GB2312"/>
          <w:snapToGrid w:val="0"/>
          <w:color w:val="000000" w:themeColor="text1"/>
          <w:kern w:val="0"/>
          <w:sz w:val="28"/>
          <w:szCs w:val="28"/>
          <w14:textFill>
            <w14:solidFill>
              <w14:schemeClr w14:val="tx1"/>
            </w14:solidFill>
          </w14:textFill>
        </w:rPr>
        <w:t>全县实现新增国家级</w:t>
      </w:r>
      <w:r>
        <w:rPr>
          <w:rFonts w:hint="eastAsia" w:ascii="仿宋_GB2312" w:hAnsi="仿宋_GB2312" w:eastAsia="仿宋_GB2312" w:cs="仿宋_GB2312"/>
          <w:color w:val="000000" w:themeColor="text1"/>
          <w:sz w:val="28"/>
          <w:szCs w:val="28"/>
          <w14:textFill>
            <w14:solidFill>
              <w14:schemeClr w14:val="tx1"/>
            </w14:solidFill>
          </w14:textFill>
        </w:rPr>
        <w:t>专业合作社</w:t>
      </w:r>
      <w:r>
        <w:rPr>
          <w:rFonts w:hint="eastAsia" w:ascii="仿宋_GB2312" w:hAnsi="仿宋_GB2312" w:eastAsia="仿宋_GB2312" w:cs="仿宋_GB2312"/>
          <w:snapToGrid w:val="0"/>
          <w:color w:val="000000" w:themeColor="text1"/>
          <w:kern w:val="0"/>
          <w:sz w:val="28"/>
          <w:szCs w:val="28"/>
          <w14:textFill>
            <w14:solidFill>
              <w14:schemeClr w14:val="tx1"/>
            </w14:solidFill>
          </w14:textFill>
        </w:rPr>
        <w:t>示范社2家，新增</w:t>
      </w:r>
      <w:r>
        <w:rPr>
          <w:rFonts w:hint="eastAsia" w:ascii="仿宋_GB2312" w:hAnsi="仿宋_GB2312" w:eastAsia="仿宋_GB2312" w:cs="仿宋_GB2312"/>
          <w:color w:val="000000" w:themeColor="text1"/>
          <w:sz w:val="28"/>
          <w:szCs w:val="28"/>
          <w14:textFill>
            <w14:solidFill>
              <w14:schemeClr w14:val="tx1"/>
            </w14:solidFill>
          </w14:textFill>
        </w:rPr>
        <w:t>省级示范家庭农场10家以上。</w:t>
      </w:r>
    </w:p>
    <w:p w14:paraId="69214E8C">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adjustRightInd w:val="0"/>
        <w:snapToGrid w:val="0"/>
        <w:spacing w:line="560" w:lineRule="exact"/>
        <w:ind w:firstLine="562" w:firstLineChars="200"/>
        <w:textAlignment w:val="auto"/>
        <w:rPr>
          <w:rFonts w:ascii="仿宋_GB2312" w:hAnsi="仿宋_GB2312" w:eastAsia="仿宋_GB2312"/>
          <w:color w:val="000000" w:themeColor="text1"/>
          <w:sz w:val="28"/>
          <w:szCs w:val="28"/>
          <w14:textFill>
            <w14:solidFill>
              <w14:schemeClr w14:val="tx1"/>
            </w14:solidFill>
          </w14:textFill>
        </w:rPr>
      </w:pPr>
      <w:r>
        <w:rPr>
          <w:rFonts w:hint="eastAsia" w:ascii="Times New Roman" w:hAnsi="Times New Roman" w:eastAsia="仿宋_GB2312" w:cs="Times New Roman"/>
          <w:b/>
          <w:bCs/>
          <w:color w:val="000000" w:themeColor="text1"/>
          <w:sz w:val="28"/>
          <w:szCs w:val="28"/>
          <w14:textFill>
            <w14:solidFill>
              <w14:schemeClr w14:val="tx1"/>
            </w14:solidFill>
          </w14:textFill>
        </w:rPr>
        <w:t>提升</w:t>
      </w:r>
      <w:r>
        <w:rPr>
          <w:rFonts w:ascii="Times New Roman" w:hAnsi="Times New Roman" w:eastAsia="仿宋_GB2312" w:cs="Times New Roman"/>
          <w:b/>
          <w:bCs/>
          <w:color w:val="000000" w:themeColor="text1"/>
          <w:sz w:val="28"/>
          <w:szCs w:val="28"/>
          <w14:textFill>
            <w14:solidFill>
              <w14:schemeClr w14:val="tx1"/>
            </w14:solidFill>
          </w14:textFill>
        </w:rPr>
        <w:t>农业产业化</w:t>
      </w:r>
      <w:r>
        <w:rPr>
          <w:rFonts w:hint="eastAsia" w:ascii="Times New Roman" w:hAnsi="Times New Roman" w:eastAsia="仿宋_GB2312" w:cs="Times New Roman"/>
          <w:b/>
          <w:bCs/>
          <w:color w:val="000000" w:themeColor="text1"/>
          <w:sz w:val="28"/>
          <w:szCs w:val="28"/>
          <w14:textFill>
            <w14:solidFill>
              <w14:schemeClr w14:val="tx1"/>
            </w14:solidFill>
          </w14:textFill>
        </w:rPr>
        <w:t>水平</w:t>
      </w:r>
      <w:r>
        <w:rPr>
          <w:rFonts w:hint="eastAsia" w:ascii="Times New Roman" w:hAnsi="Times New Roman" w:eastAsia="仿宋_GB2312" w:cs="Times New Roman"/>
          <w:b/>
          <w:bCs/>
          <w:color w:val="000000" w:themeColor="text1"/>
          <w:sz w:val="28"/>
          <w:szCs w:val="28"/>
          <w:lang w:eastAsia="zh-CN"/>
          <w14:textFill>
            <w14:solidFill>
              <w14:schemeClr w14:val="tx1"/>
            </w14:solidFill>
          </w14:textFill>
        </w:rPr>
        <w:t>。</w:t>
      </w:r>
      <w:r>
        <w:rPr>
          <w:rFonts w:hint="eastAsia" w:ascii="仿宋_GB2312" w:hAnsi="仿宋_GB2312" w:eastAsia="仿宋_GB2312"/>
          <w:color w:val="000000" w:themeColor="text1"/>
          <w:sz w:val="28"/>
          <w:szCs w:val="28"/>
          <w14:textFill>
            <w14:solidFill>
              <w14:schemeClr w14:val="tx1"/>
            </w14:solidFill>
          </w14:textFill>
        </w:rPr>
        <w:t>按照“自愿、互利”和“民办、民管、民受益”的原则，大力规范发展农民专业合作社、农业产业化联合体等新型农业经营主体。充分发挥专业合作组织在产业体系中内联农户、外接市场的作用，搞好与龙头企业和市场的对接，大力推广“龙头企业+基地+专业合作社+农户”等农业产业化组织形式，通过建立多种形式的利益联结机制，密切龙头企业、基地、专业合作社和农户联系，形成更加紧密的经济利益共同体，不断提升农业产业化水平。发挥紧邻山东农业大省优势，力争引进500万以上农业项目10个。到“十四五”末，全县农业产业化经营率达到80%，省级龙头企业发展到5家，新增销售收入亿元以上龙头企业1家以上。</w:t>
      </w:r>
    </w:p>
    <w:p w14:paraId="0925ECE1">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adjustRightInd w:val="0"/>
        <w:snapToGrid w:val="0"/>
        <w:spacing w:line="560" w:lineRule="exact"/>
        <w:ind w:firstLine="562" w:firstLineChars="200"/>
        <w:textAlignment w:val="auto"/>
        <w:rPr>
          <w:rFonts w:hint="eastAsia" w:ascii="仿宋_GB2312" w:hAnsi="仿宋_GB2312" w:eastAsia="仿宋_GB2312"/>
          <w:color w:val="000000" w:themeColor="text1"/>
          <w:sz w:val="28"/>
          <w:szCs w:val="28"/>
          <w14:textFill>
            <w14:solidFill>
              <w14:schemeClr w14:val="tx1"/>
            </w14:solidFill>
          </w14:textFill>
        </w:rPr>
      </w:pPr>
      <w:r>
        <w:rPr>
          <w:rFonts w:hint="eastAsia" w:ascii="仿宋_GB2312" w:hAnsi="仿宋_GB2312" w:eastAsia="仿宋_GB2312"/>
          <w:b/>
          <w:bCs/>
          <w:color w:val="000000" w:themeColor="text1"/>
          <w:sz w:val="28"/>
          <w:szCs w:val="28"/>
          <w14:textFill>
            <w14:solidFill>
              <w14:schemeClr w14:val="tx1"/>
            </w14:solidFill>
          </w14:textFill>
        </w:rPr>
        <w:t>大力发展品牌农业。</w:t>
      </w:r>
      <w:r>
        <w:rPr>
          <w:rFonts w:hint="eastAsia" w:ascii="仿宋_GB2312" w:hAnsi="仿宋_GB2312" w:eastAsia="仿宋_GB2312"/>
          <w:color w:val="000000" w:themeColor="text1"/>
          <w:sz w:val="28"/>
          <w:szCs w:val="28"/>
          <w14:textFill>
            <w14:solidFill>
              <w14:schemeClr w14:val="tx1"/>
            </w14:solidFill>
          </w14:textFill>
        </w:rPr>
        <w:t>强化品牌意识和精品意识，大力推进有机农产品和绿色食品认证。积极培育名牌农产品，促进优质、安全农产品生产上规模、上档次，出特色，创品牌。加大区域公用品牌“清河里”和农产品地理标志“清河山楂”的宣传培育力度，开展多种形式的品牌宣传、展示和推介活动，提高特色农产品市场认可度和知名度。</w:t>
      </w:r>
      <w:bookmarkStart w:id="180" w:name="_Toc2222"/>
    </w:p>
    <w:p w14:paraId="4D7DEDC8">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adjustRightInd w:val="0"/>
        <w:snapToGrid w:val="0"/>
        <w:spacing w:line="560" w:lineRule="exact"/>
        <w:ind w:firstLine="560" w:firstLineChars="200"/>
        <w:textAlignment w:val="auto"/>
        <w:rPr>
          <w:rFonts w:ascii="楷体_GB2312" w:hAnsi="楷体_GB2312" w:eastAsia="楷体_GB2312" w:cs="楷体_GB2312"/>
          <w:b w:val="0"/>
          <w:bCs/>
          <w:color w:val="000000" w:themeColor="text1"/>
          <w:kern w:val="0"/>
          <w:sz w:val="28"/>
          <w:szCs w:val="28"/>
          <w14:textFill>
            <w14:solidFill>
              <w14:schemeClr w14:val="tx1"/>
            </w14:solidFill>
          </w14:textFill>
        </w:rPr>
      </w:pPr>
      <w:r>
        <w:rPr>
          <w:rFonts w:hint="eastAsia" w:ascii="楷体_GB2312" w:hAnsi="楷体_GB2312" w:eastAsia="楷体_GB2312" w:cs="楷体_GB2312"/>
          <w:b w:val="0"/>
          <w:bCs/>
          <w:color w:val="000000" w:themeColor="text1"/>
          <w:kern w:val="0"/>
          <w:sz w:val="28"/>
          <w:szCs w:val="28"/>
          <w14:textFill>
            <w14:solidFill>
              <w14:schemeClr w14:val="tx1"/>
            </w14:solidFill>
          </w14:textFill>
        </w:rPr>
        <w:t>（二）</w:t>
      </w:r>
      <w:r>
        <w:rPr>
          <w:rFonts w:hint="eastAsia" w:ascii="楷体_GB2312" w:hAnsi="楷体_GB2312" w:eastAsia="楷体_GB2312" w:cs="楷体_GB2312"/>
          <w:b w:val="0"/>
          <w:bCs/>
          <w:color w:val="000000" w:themeColor="text1"/>
          <w:kern w:val="0"/>
          <w:sz w:val="28"/>
          <w:szCs w:val="28"/>
          <w:lang w:val="zh-CN"/>
          <w14:textFill>
            <w14:solidFill>
              <w14:schemeClr w14:val="tx1"/>
            </w14:solidFill>
          </w14:textFill>
        </w:rPr>
        <w:t>着力推进制造业高端化</w:t>
      </w:r>
      <w:bookmarkEnd w:id="180"/>
    </w:p>
    <w:p w14:paraId="2E59DBDA">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adjustRightInd w:val="0"/>
        <w:snapToGrid w:val="0"/>
        <w:spacing w:line="560" w:lineRule="exact"/>
        <w:ind w:firstLine="560" w:firstLineChars="200"/>
        <w:textAlignment w:val="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按照“羊绒产业创品牌、汽车及零部件产业育龙头、稀有金属产业引人</w:t>
      </w:r>
      <w:r>
        <w:rPr>
          <w:rFonts w:hint="eastAsia" w:ascii="仿宋_GB2312" w:hAnsi="仿宋_GB2312" w:eastAsia="仿宋_GB2312" w:cs="仿宋_GB2312"/>
          <w:color w:val="000000" w:themeColor="text1"/>
          <w:kern w:val="0"/>
          <w:sz w:val="28"/>
          <w:szCs w:val="28"/>
          <w:lang w:bidi="ar"/>
          <w14:textFill>
            <w14:solidFill>
              <w14:schemeClr w14:val="tx1"/>
            </w14:solidFill>
          </w14:textFill>
        </w:rPr>
        <w:t>才、耐火材料产业拓市场”的思路，固</w:t>
      </w:r>
      <w:r>
        <w:rPr>
          <w:rFonts w:hint="eastAsia" w:ascii="仿宋_GB2312" w:hAnsi="仿宋_GB2312" w:eastAsia="仿宋_GB2312" w:cs="仿宋_GB2312"/>
          <w:color w:val="000000" w:themeColor="text1"/>
          <w:sz w:val="28"/>
          <w:szCs w:val="28"/>
          <w14:textFill>
            <w14:solidFill>
              <w14:schemeClr w14:val="tx1"/>
            </w14:solidFill>
          </w14:textFill>
        </w:rPr>
        <w:t>根基、扬优势、补短板、强弱项，全力打好产业升级攻坚战，加快推进产业基础高级化、产业链条现代化。到2025年，实现特色产业营业收入超千亿元，比2</w:t>
      </w:r>
      <w:r>
        <w:rPr>
          <w:rFonts w:ascii="仿宋_GB2312" w:hAnsi="仿宋_GB2312" w:eastAsia="仿宋_GB2312" w:cs="仿宋_GB2312"/>
          <w:color w:val="000000" w:themeColor="text1"/>
          <w:sz w:val="28"/>
          <w:szCs w:val="28"/>
          <w14:textFill>
            <w14:solidFill>
              <w14:schemeClr w14:val="tx1"/>
            </w14:solidFill>
          </w14:textFill>
        </w:rPr>
        <w:t>020</w:t>
      </w:r>
      <w:r>
        <w:rPr>
          <w:rFonts w:hint="eastAsia" w:ascii="仿宋_GB2312" w:hAnsi="仿宋_GB2312" w:eastAsia="仿宋_GB2312" w:cs="仿宋_GB2312"/>
          <w:color w:val="000000" w:themeColor="text1"/>
          <w:sz w:val="28"/>
          <w:szCs w:val="28"/>
          <w14:textFill>
            <w14:solidFill>
              <w14:schemeClr w14:val="tx1"/>
            </w14:solidFill>
          </w14:textFill>
        </w:rPr>
        <w:t>年翻一番；新兴产业裂变式增长，挑起大梁，高新技术产业在规上企业比重保持在</w:t>
      </w:r>
      <w:r>
        <w:rPr>
          <w:rFonts w:ascii="仿宋_GB2312" w:hAnsi="仿宋_GB2312" w:eastAsia="仿宋_GB2312" w:cs="仿宋_GB2312"/>
          <w:color w:val="000000" w:themeColor="text1"/>
          <w:sz w:val="28"/>
          <w:szCs w:val="28"/>
          <w14:textFill>
            <w14:solidFill>
              <w14:schemeClr w14:val="tx1"/>
            </w14:solidFill>
          </w14:textFill>
        </w:rPr>
        <w:t>30</w:t>
      </w:r>
      <w:r>
        <w:rPr>
          <w:rFonts w:hint="eastAsia" w:ascii="仿宋_GB2312" w:hAnsi="仿宋_GB2312" w:eastAsia="仿宋_GB2312" w:cs="仿宋_GB2312"/>
          <w:color w:val="000000" w:themeColor="text1"/>
          <w:sz w:val="28"/>
          <w:szCs w:val="28"/>
          <w14:textFill>
            <w14:solidFill>
              <w14:schemeClr w14:val="tx1"/>
            </w14:solidFill>
          </w14:textFill>
        </w:rPr>
        <w:t>%以上。</w:t>
      </w:r>
    </w:p>
    <w:p w14:paraId="26BE36C2">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adjustRightInd w:val="0"/>
        <w:snapToGrid w:val="0"/>
        <w:spacing w:line="560" w:lineRule="exact"/>
        <w:ind w:firstLine="562" w:firstLineChars="200"/>
        <w:textAlignment w:val="auto"/>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1.羊绒产业</w:t>
      </w:r>
    </w:p>
    <w:p w14:paraId="595DFDEE">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adjustRightInd w:val="0"/>
        <w:snapToGrid w:val="0"/>
        <w:spacing w:line="560" w:lineRule="exact"/>
        <w:ind w:firstLine="560" w:firstLineChars="200"/>
        <w:textAlignment w:val="auto"/>
        <w:rPr>
          <w:rFonts w:ascii="仿宋_GB2312" w:hAnsi="仿宋_GB2312" w:eastAsia="仿宋_GB2312" w:cs="仿宋_GB2312"/>
          <w:color w:val="000000" w:themeColor="text1"/>
          <w:spacing w:val="-6"/>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强化政策激励引导，加快由目前初加工主导的中低端向时尚制品主导的中高端迈进、由量上以吨论价向质上以克论价升级，提高品牌、设计、文化等元素附加值，创建具有国际水平的时尚创意产业集群，全力打造“羊</w:t>
      </w:r>
      <w:r>
        <w:rPr>
          <w:rFonts w:hint="eastAsia" w:ascii="仿宋_GB2312" w:hAnsi="仿宋_GB2312" w:eastAsia="仿宋_GB2312" w:cs="仿宋_GB2312"/>
          <w:color w:val="000000" w:themeColor="text1"/>
          <w:spacing w:val="-6"/>
          <w:sz w:val="28"/>
          <w:szCs w:val="28"/>
          <w14:textFill>
            <w14:solidFill>
              <w14:schemeClr w14:val="tx1"/>
            </w14:solidFill>
          </w14:textFill>
        </w:rPr>
        <w:t>绒之都，世界绒谷”。</w:t>
      </w:r>
    </w:p>
    <w:p w14:paraId="161BFD91">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adjustRightInd w:val="0"/>
        <w:snapToGrid w:val="0"/>
        <w:spacing w:line="560" w:lineRule="exact"/>
        <w:ind w:firstLine="538" w:firstLineChars="200"/>
        <w:textAlignment w:val="auto"/>
        <w:rPr>
          <w:rFonts w:ascii="仿宋_GB2312" w:hAnsi="仿宋_GB2312" w:eastAsia="仿宋_GB2312" w:cs="仿宋_GB2312"/>
          <w:color w:val="000000" w:themeColor="text1"/>
          <w:kern w:val="0"/>
          <w:sz w:val="28"/>
          <w:szCs w:val="28"/>
          <w:lang w:bidi="ar"/>
          <w14:textFill>
            <w14:solidFill>
              <w14:schemeClr w14:val="tx1"/>
            </w14:solidFill>
          </w14:textFill>
        </w:rPr>
      </w:pPr>
      <w:r>
        <w:rPr>
          <w:rFonts w:hint="eastAsia" w:ascii="仿宋_GB2312" w:hAnsi="仿宋_GB2312" w:eastAsia="仿宋_GB2312" w:cs="仿宋_GB2312"/>
          <w:b/>
          <w:color w:val="000000" w:themeColor="text1"/>
          <w:spacing w:val="-6"/>
          <w:kern w:val="0"/>
          <w:sz w:val="28"/>
          <w:szCs w:val="28"/>
          <w:lang w:bidi="ar"/>
          <w14:textFill>
            <w14:solidFill>
              <w14:schemeClr w14:val="tx1"/>
            </w14:solidFill>
          </w14:textFill>
        </w:rPr>
        <w:t>巩固优化分梳。</w:t>
      </w:r>
      <w:r>
        <w:rPr>
          <w:rFonts w:hint="eastAsia" w:ascii="仿宋_GB2312" w:hAnsi="仿宋_GB2312" w:eastAsia="仿宋_GB2312" w:cs="仿宋_GB2312"/>
          <w:color w:val="000000" w:themeColor="text1"/>
          <w:spacing w:val="-6"/>
          <w:kern w:val="0"/>
          <w:sz w:val="28"/>
          <w:szCs w:val="28"/>
          <w:lang w:bidi="ar"/>
          <w14:textFill>
            <w14:solidFill>
              <w14:schemeClr w14:val="tx1"/>
            </w14:solidFill>
          </w14:textFill>
        </w:rPr>
        <w:t>积极引导企业技改升级，大力推动标准化分梳，提升成品绒品质，进一步巩固清河羊绒原料加工基地优势地位。</w:t>
      </w:r>
    </w:p>
    <w:p w14:paraId="76189CAE">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adjustRightInd w:val="0"/>
        <w:snapToGrid w:val="0"/>
        <w:spacing w:line="560" w:lineRule="exact"/>
        <w:ind w:firstLine="562" w:firstLineChars="200"/>
        <w:textAlignment w:val="auto"/>
        <w:rPr>
          <w:rFonts w:ascii="仿宋_GB2312" w:hAnsi="仿宋_GB2312" w:eastAsia="仿宋_GB2312" w:cs="仿宋_GB2312"/>
          <w:color w:val="000000" w:themeColor="text1"/>
          <w:kern w:val="0"/>
          <w:sz w:val="28"/>
          <w:szCs w:val="28"/>
          <w:lang w:bidi="ar"/>
          <w14:textFill>
            <w14:solidFill>
              <w14:schemeClr w14:val="tx1"/>
            </w14:solidFill>
          </w14:textFill>
        </w:rPr>
      </w:pPr>
      <w:r>
        <w:rPr>
          <w:rFonts w:hint="eastAsia" w:ascii="仿宋_GB2312" w:hAnsi="仿宋_GB2312" w:eastAsia="仿宋_GB2312" w:cs="仿宋_GB2312"/>
          <w:b/>
          <w:color w:val="000000" w:themeColor="text1"/>
          <w:kern w:val="0"/>
          <w:sz w:val="28"/>
          <w:szCs w:val="28"/>
          <w:lang w:bidi="ar"/>
          <w14:textFill>
            <w14:solidFill>
              <w14:schemeClr w14:val="tx1"/>
            </w14:solidFill>
          </w14:textFill>
        </w:rPr>
        <w:t>壮大提升纺纱。</w:t>
      </w:r>
      <w:r>
        <w:rPr>
          <w:rFonts w:hint="eastAsia" w:ascii="仿宋_GB2312" w:hAnsi="仿宋_GB2312" w:eastAsia="仿宋_GB2312" w:cs="仿宋_GB2312"/>
          <w:color w:val="000000" w:themeColor="text1"/>
          <w:kern w:val="0"/>
          <w:sz w:val="28"/>
          <w:szCs w:val="28"/>
          <w:lang w:bidi="ar"/>
          <w14:textFill>
            <w14:solidFill>
              <w14:schemeClr w14:val="tx1"/>
            </w14:solidFill>
          </w14:textFill>
        </w:rPr>
        <w:t>筹建新型纱线面料试样中心，推广应用石墨烯、海洋细胞、功能纱、花式纱等多元化工艺及材料，加快新型纱线、新型面料开发，打造全国知名的羊绒纺纱基地。</w:t>
      </w:r>
    </w:p>
    <w:p w14:paraId="3F10EEAA">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adjustRightInd w:val="0"/>
        <w:snapToGrid w:val="0"/>
        <w:spacing w:line="560" w:lineRule="exact"/>
        <w:ind w:firstLine="562" w:firstLineChars="200"/>
        <w:textAlignment w:val="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lang w:bidi="ar"/>
          <w14:textFill>
            <w14:solidFill>
              <w14:schemeClr w14:val="tx1"/>
            </w14:solidFill>
          </w14:textFill>
        </w:rPr>
        <w:t>做强针织梭织。</w:t>
      </w:r>
      <w:r>
        <w:rPr>
          <w:rFonts w:hint="eastAsia" w:ascii="仿宋_GB2312" w:hAnsi="仿宋_GB2312" w:eastAsia="仿宋_GB2312" w:cs="仿宋_GB2312"/>
          <w:color w:val="000000" w:themeColor="text1"/>
          <w:sz w:val="28"/>
          <w:szCs w:val="28"/>
          <w14:textFill>
            <w14:solidFill>
              <w14:schemeClr w14:val="tx1"/>
            </w14:solidFill>
          </w14:textFill>
        </w:rPr>
        <w:t>筹建标准化针织示范园，开展装备智能化革命，积极推广“织可穿”一线成衣智能设备，快速壮大中高端针织梭织产能。加快中汇公司智慧工厂和数字车间建设，普及柔性织造和个性化定制，提高供应链协同和快速反应能力。</w:t>
      </w:r>
    </w:p>
    <w:p w14:paraId="335CF963">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adjustRightInd w:val="0"/>
        <w:snapToGrid w:val="0"/>
        <w:spacing w:line="560" w:lineRule="exact"/>
        <w:ind w:firstLine="562" w:firstLineChars="200"/>
        <w:textAlignment w:val="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lang w:bidi="ar"/>
          <w14:textFill>
            <w14:solidFill>
              <w14:schemeClr w14:val="tx1"/>
            </w14:solidFill>
          </w14:textFill>
        </w:rPr>
        <w:t>丰富时尚精品。</w:t>
      </w:r>
      <w:r>
        <w:rPr>
          <w:rFonts w:hint="eastAsia" w:ascii="仿宋_GB2312" w:hAnsi="仿宋_GB2312" w:eastAsia="仿宋_GB2312" w:cs="仿宋_GB2312"/>
          <w:color w:val="000000" w:themeColor="text1"/>
          <w:sz w:val="28"/>
          <w:szCs w:val="28"/>
          <w14:textFill>
            <w14:solidFill>
              <w14:schemeClr w14:val="tx1"/>
            </w14:solidFill>
          </w14:textFill>
        </w:rPr>
        <w:t>与中国服装协会、中国流行色协会等行业协会、知名设计机构深入合作，引进优质设计资源，做大做强原创设计展示中心，建设羊绒服饰打版中心，加快设计原创化，产品四季化、时尚化、个性化、精品化，提升美誉度。</w:t>
      </w:r>
    </w:p>
    <w:p w14:paraId="02D1F9FC">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adjustRightInd w:val="0"/>
        <w:snapToGrid w:val="0"/>
        <w:spacing w:line="560" w:lineRule="exact"/>
        <w:ind w:firstLine="562" w:firstLineChars="200"/>
        <w:textAlignment w:val="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lang w:bidi="ar"/>
          <w14:textFill>
            <w14:solidFill>
              <w14:schemeClr w14:val="tx1"/>
            </w14:solidFill>
          </w14:textFill>
        </w:rPr>
        <w:t>培大创响品牌。</w:t>
      </w:r>
      <w:r>
        <w:rPr>
          <w:rFonts w:hint="eastAsia" w:ascii="仿宋_GB2312" w:hAnsi="仿宋_GB2312" w:eastAsia="仿宋_GB2312" w:cs="仿宋_GB2312"/>
          <w:color w:val="000000" w:themeColor="text1"/>
          <w:sz w:val="28"/>
          <w:szCs w:val="28"/>
          <w14:textFill>
            <w14:solidFill>
              <w14:schemeClr w14:val="tx1"/>
            </w14:solidFill>
          </w14:textFill>
        </w:rPr>
        <w:t>推进“品质革命”，加强质量管控，推广质量溯源体系，倒逼企业提品质、创品牌。进一步壮大参展群体、提升参展层次，扩大清河羊绒在国内外高端展会的品牌影响力，加速走上米兰、纽约等国际时尚舞台；精心办好清河国际羊绒及绒毛制品交易会；利用央视、高铁站、机场等，大力宣传清河羊绒和企业自主品牌，提升产业知名度和影响力。</w:t>
      </w:r>
    </w:p>
    <w:p w14:paraId="594EA036">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adjustRightInd w:val="0"/>
        <w:snapToGrid w:val="0"/>
        <w:spacing w:line="560" w:lineRule="exact"/>
        <w:ind w:firstLine="562" w:firstLineChars="200"/>
        <w:textAlignment w:val="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lang w:bidi="ar"/>
          <w14:textFill>
            <w14:solidFill>
              <w14:schemeClr w14:val="tx1"/>
            </w14:solidFill>
          </w14:textFill>
        </w:rPr>
        <w:t>繁荣多元市场。</w:t>
      </w:r>
      <w:r>
        <w:rPr>
          <w:rFonts w:hint="eastAsia" w:ascii="仿宋_GB2312" w:hAnsi="仿宋_GB2312" w:eastAsia="仿宋_GB2312" w:cs="仿宋_GB2312"/>
          <w:color w:val="000000" w:themeColor="text1"/>
          <w:sz w:val="28"/>
          <w:szCs w:val="28"/>
          <w14:textFill>
            <w14:solidFill>
              <w14:schemeClr w14:val="tx1"/>
            </w14:solidFill>
          </w14:textFill>
        </w:rPr>
        <w:t>积极拓展多元化销售渠道，加强与中纺联合作，精准对接国内服装批发资源，筹划“清河羊绒”百城巡展和社群分销，支持企业在国内外开设旗舰店，拓宽线下市场。完善清河网红直播培训基地，跨境电商园争创省级众创空间，积极发展“网红直播”、跨境电商等新业态；建设羊绒产业线上公共服务平台、电子商务大数据中心，利用数据信息指导企业、引导市场，巩固线上优势。</w:t>
      </w:r>
    </w:p>
    <w:p w14:paraId="14C188B3">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adjustRightInd w:val="0"/>
        <w:snapToGrid w:val="0"/>
        <w:spacing w:line="560" w:lineRule="exact"/>
        <w:ind w:firstLine="562" w:firstLineChars="200"/>
        <w:textAlignment w:val="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lang w:bidi="ar"/>
          <w14:textFill>
            <w14:solidFill>
              <w14:schemeClr w14:val="tx1"/>
            </w14:solidFill>
          </w14:textFill>
        </w:rPr>
        <w:t>完善行业标准。</w:t>
      </w:r>
      <w:r>
        <w:rPr>
          <w:rFonts w:hint="eastAsia" w:ascii="仿宋_GB2312" w:hAnsi="仿宋_GB2312" w:eastAsia="仿宋_GB2312" w:cs="仿宋_GB2312"/>
          <w:color w:val="000000" w:themeColor="text1"/>
          <w:sz w:val="28"/>
          <w:szCs w:val="28"/>
          <w14:textFill>
            <w14:solidFill>
              <w14:schemeClr w14:val="tx1"/>
            </w14:solidFill>
          </w14:textFill>
        </w:rPr>
        <w:t>加快筹建绵羊绒标准化分梳基地，联合中国畜产品流通协会，推动绵羊绒团体标准制定，积极组织企业参与羊绒纺织、成衣等行业标准修订，提升清河羊绒话语权和竞争力。</w:t>
      </w:r>
    </w:p>
    <w:p w14:paraId="528B0D40">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adjustRightInd w:val="0"/>
        <w:snapToGrid w:val="0"/>
        <w:spacing w:line="560" w:lineRule="exact"/>
        <w:ind w:firstLine="562" w:firstLineChars="200"/>
        <w:textAlignment w:val="auto"/>
        <w:rPr>
          <w:rFonts w:ascii="仿宋_GB2312" w:hAnsi="仿宋_GB2312" w:eastAsia="仿宋_GB2312" w:cs="仿宋_GB2312"/>
          <w:b/>
          <w:color w:val="000000" w:themeColor="text1"/>
          <w:sz w:val="28"/>
          <w:szCs w:val="28"/>
          <w:lang w:bidi="ar"/>
          <w14:textFill>
            <w14:solidFill>
              <w14:schemeClr w14:val="tx1"/>
            </w14:solidFill>
          </w14:textFill>
        </w:rPr>
      </w:pPr>
      <w:r>
        <w:rPr>
          <w:rFonts w:hint="eastAsia" w:ascii="仿宋_GB2312" w:hAnsi="仿宋_GB2312" w:eastAsia="仿宋_GB2312" w:cs="仿宋_GB2312"/>
          <w:b/>
          <w:color w:val="000000" w:themeColor="text1"/>
          <w:sz w:val="28"/>
          <w:szCs w:val="28"/>
          <w:lang w:bidi="ar"/>
          <w14:textFill>
            <w14:solidFill>
              <w14:schemeClr w14:val="tx1"/>
            </w14:solidFill>
          </w14:textFill>
        </w:rPr>
        <w:t>2.汽车及零部件产业</w:t>
      </w:r>
    </w:p>
    <w:p w14:paraId="57AB1DBF">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adjustRightInd w:val="0"/>
        <w:snapToGrid w:val="0"/>
        <w:spacing w:line="560" w:lineRule="exact"/>
        <w:ind w:firstLine="562" w:firstLineChars="200"/>
        <w:textAlignment w:val="auto"/>
        <w:rPr>
          <w:rFonts w:ascii="仿宋_GB2312" w:hAnsi="仿宋_GB2312" w:eastAsia="仿宋_GB2312" w:cs="仿宋_GB2312"/>
          <w:color w:val="000000" w:themeColor="text1"/>
          <w:kern w:val="0"/>
          <w:sz w:val="28"/>
          <w:szCs w:val="28"/>
          <w:lang w:bidi="ar"/>
          <w14:textFill>
            <w14:solidFill>
              <w14:schemeClr w14:val="tx1"/>
            </w14:solidFill>
          </w14:textFill>
        </w:rPr>
      </w:pPr>
      <w:r>
        <w:rPr>
          <w:rFonts w:hint="eastAsia" w:ascii="仿宋_GB2312" w:hAnsi="仿宋_GB2312" w:eastAsia="仿宋_GB2312" w:cs="仿宋_GB2312"/>
          <w:b/>
          <w:color w:val="000000" w:themeColor="text1"/>
          <w:kern w:val="0"/>
          <w:sz w:val="28"/>
          <w:szCs w:val="28"/>
          <w:lang w:bidi="ar"/>
          <w14:textFill>
            <w14:solidFill>
              <w14:schemeClr w14:val="tx1"/>
            </w14:solidFill>
          </w14:textFill>
        </w:rPr>
        <w:t>做精整车。</w:t>
      </w:r>
      <w:r>
        <w:rPr>
          <w:rFonts w:hint="eastAsia" w:ascii="仿宋_GB2312" w:hAnsi="仿宋_GB2312" w:eastAsia="仿宋_GB2312" w:cs="仿宋_GB2312"/>
          <w:color w:val="000000" w:themeColor="text1"/>
          <w:kern w:val="0"/>
          <w:sz w:val="28"/>
          <w:szCs w:val="28"/>
          <w:lang w:bidi="ar"/>
          <w14:textFill>
            <w14:solidFill>
              <w14:schemeClr w14:val="tx1"/>
            </w14:solidFill>
          </w14:textFill>
        </w:rPr>
        <w:t>全力扶持领途汽车尽快重组投产，带动零部件企业增品种、提品质。</w:t>
      </w:r>
    </w:p>
    <w:p w14:paraId="48C6049F">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adjustRightInd w:val="0"/>
        <w:snapToGrid w:val="0"/>
        <w:spacing w:line="560" w:lineRule="exact"/>
        <w:ind w:firstLine="562" w:firstLineChars="200"/>
        <w:textAlignment w:val="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lang w:bidi="ar"/>
          <w14:textFill>
            <w14:solidFill>
              <w14:schemeClr w14:val="tx1"/>
            </w14:solidFill>
          </w14:textFill>
        </w:rPr>
        <w:t>做强配套。</w:t>
      </w:r>
      <w:r>
        <w:rPr>
          <w:rFonts w:hint="eastAsia" w:ascii="仿宋_GB2312" w:hAnsi="仿宋_GB2312" w:eastAsia="仿宋_GB2312" w:cs="仿宋_GB2312"/>
          <w:color w:val="000000" w:themeColor="text1"/>
          <w:sz w:val="28"/>
          <w:szCs w:val="28"/>
          <w14:textFill>
            <w14:solidFill>
              <w14:schemeClr w14:val="tx1"/>
            </w14:solidFill>
          </w14:textFill>
        </w:rPr>
        <w:t>发挥中科院品牌效应，加快人才技术引进和科技成果转化，加速橡塑制品轻量化、绿色化。全力推动亿利静电纺产业园建设，加快对汽车过滤具有革命性、颠覆性的静电纺国际领先技术在清河落地，推动我县车用过滤向工业过滤、民用过滤、医用过滤、军用过滤拓展，打造全国滤料交易中心和过滤产业基地。</w:t>
      </w:r>
    </w:p>
    <w:p w14:paraId="41C7324E">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adjustRightInd w:val="0"/>
        <w:snapToGrid w:val="0"/>
        <w:spacing w:line="560" w:lineRule="exact"/>
        <w:ind w:firstLine="562" w:firstLineChars="200"/>
        <w:textAlignment w:val="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lang w:bidi="ar"/>
          <w14:textFill>
            <w14:solidFill>
              <w14:schemeClr w14:val="tx1"/>
            </w14:solidFill>
          </w14:textFill>
        </w:rPr>
        <w:t>做大市场。</w:t>
      </w:r>
      <w:r>
        <w:rPr>
          <w:rFonts w:hint="eastAsia" w:ascii="仿宋_GB2312" w:hAnsi="仿宋_GB2312" w:eastAsia="仿宋_GB2312" w:cs="仿宋_GB2312"/>
          <w:color w:val="000000" w:themeColor="text1"/>
          <w:sz w:val="28"/>
          <w:szCs w:val="28"/>
          <w14:textFill>
            <w14:solidFill>
              <w14:schemeClr w14:val="tx1"/>
            </w14:solidFill>
          </w14:textFill>
        </w:rPr>
        <w:t>鼓励企业提升配套层次，扩大与合资车厂配套份额。以清河滤清器等区域品牌组团参加国内外高端展会，扩大清河汽配交易博览会规模，提高汽车后市场占有率。筹建汽车零部件智能交易平台，吸引国内外品牌连锁仓储公司和原材料企业入驻，打造全国知名的汽车易损件采购基地。积极培育壮大汽配供应链平台，做优服务连锁，做大下沉市场，打造全国知名的线上汽配城。</w:t>
      </w:r>
    </w:p>
    <w:p w14:paraId="6703CC8E">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adjustRightInd w:val="0"/>
        <w:snapToGrid w:val="0"/>
        <w:spacing w:line="560" w:lineRule="exact"/>
        <w:ind w:firstLine="562" w:firstLineChars="200"/>
        <w:textAlignment w:val="auto"/>
        <w:rPr>
          <w:rFonts w:ascii="仿宋_GB2312" w:hAnsi="仿宋_GB2312" w:eastAsia="仿宋_GB2312" w:cs="仿宋_GB2312"/>
          <w:b/>
          <w:color w:val="000000" w:themeColor="text1"/>
          <w:sz w:val="28"/>
          <w:szCs w:val="28"/>
          <w:lang w:bidi="ar"/>
          <w14:textFill>
            <w14:solidFill>
              <w14:schemeClr w14:val="tx1"/>
            </w14:solidFill>
          </w14:textFill>
        </w:rPr>
      </w:pPr>
      <w:r>
        <w:rPr>
          <w:rFonts w:hint="eastAsia" w:ascii="仿宋_GB2312" w:hAnsi="仿宋_GB2312" w:eastAsia="仿宋_GB2312" w:cs="仿宋_GB2312"/>
          <w:b/>
          <w:color w:val="000000" w:themeColor="text1"/>
          <w:sz w:val="28"/>
          <w:szCs w:val="28"/>
          <w:lang w:bidi="ar"/>
          <w14:textFill>
            <w14:solidFill>
              <w14:schemeClr w14:val="tx1"/>
            </w14:solidFill>
          </w14:textFill>
        </w:rPr>
        <w:t>3.战略金属及耐火材料产业</w:t>
      </w:r>
    </w:p>
    <w:p w14:paraId="659B5AC6">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adjustRightInd w:val="0"/>
        <w:snapToGrid w:val="0"/>
        <w:spacing w:line="560" w:lineRule="exact"/>
        <w:ind w:firstLine="562" w:firstLineChars="200"/>
        <w:textAlignment w:val="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lang w:bidi="ar"/>
          <w14:textFill>
            <w14:solidFill>
              <w14:schemeClr w14:val="tx1"/>
            </w14:solidFill>
          </w14:textFill>
        </w:rPr>
        <w:t>高温合金扩能延链。</w:t>
      </w:r>
      <w:r>
        <w:rPr>
          <w:rFonts w:hint="eastAsia" w:ascii="仿宋_GB2312" w:hAnsi="仿宋_GB2312" w:eastAsia="仿宋_GB2312" w:cs="仿宋_GB2312"/>
          <w:color w:val="000000" w:themeColor="text1"/>
          <w:sz w:val="28"/>
          <w:szCs w:val="28"/>
          <w14:textFill>
            <w14:solidFill>
              <w14:schemeClr w14:val="tx1"/>
            </w14:solidFill>
          </w14:textFill>
        </w:rPr>
        <w:t>强化科技研发和技术改造，扩大废旧合金再生利用和高温合金生产规模、提升产品质量、丰富产品品类，增强产业配套协作能力。支持中航上大关键战略保障材料产能释放，加快高性能高质量航空用高温合金锻造项目建设，聚集上下游企业，延展产业链条。</w:t>
      </w:r>
    </w:p>
    <w:p w14:paraId="58756F7E">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adjustRightInd w:val="0"/>
        <w:snapToGrid w:val="0"/>
        <w:spacing w:line="560" w:lineRule="exact"/>
        <w:ind w:firstLine="562" w:firstLineChars="200"/>
        <w:textAlignment w:val="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lang w:bidi="ar"/>
          <w14:textFill>
            <w14:solidFill>
              <w14:schemeClr w14:val="tx1"/>
            </w14:solidFill>
          </w14:textFill>
        </w:rPr>
        <w:t>废钨合金再生提质。</w:t>
      </w:r>
      <w:r>
        <w:rPr>
          <w:rFonts w:hint="eastAsia" w:ascii="仿宋_GB2312" w:hAnsi="仿宋_GB2312" w:eastAsia="仿宋_GB2312" w:cs="仿宋_GB2312"/>
          <w:color w:val="000000" w:themeColor="text1"/>
          <w:sz w:val="28"/>
          <w:szCs w:val="28"/>
          <w14:textFill>
            <w14:solidFill>
              <w14:schemeClr w14:val="tx1"/>
            </w14:solidFill>
          </w14:textFill>
        </w:rPr>
        <w:t>推动清河数控刀具切削刀具协会与中国钨业协会建立全方位、多角度、多层次长期稳定合作机制，加强与中南大学、北京理工大学等院校合作，优化工艺流程，搭建产品检测平台，提高废钨合金再生能力，提升再生品质，加快由废旧合金集散主导向高端数控刀具再生利用升级，加快钨资源再生利用试验基地建设</w:t>
      </w:r>
      <w:r>
        <w:rPr>
          <w:rFonts w:hint="eastAsia" w:ascii="仿宋_GB2312" w:hAnsi="仿宋_GB2312" w:eastAsia="仿宋_GB2312" w:cs="仿宋_GB2312"/>
          <w:color w:val="000000" w:themeColor="text1"/>
          <w:sz w:val="28"/>
          <w:szCs w:val="28"/>
          <w:lang w:val="zh-CN"/>
          <w14:textFill>
            <w14:solidFill>
              <w14:schemeClr w14:val="tx1"/>
            </w14:solidFill>
          </w14:textFill>
        </w:rPr>
        <w:t>，助推“清河制造”向“清河智造”转变</w:t>
      </w:r>
      <w:r>
        <w:rPr>
          <w:rFonts w:hint="eastAsia" w:ascii="仿宋_GB2312" w:hAnsi="仿宋_GB2312" w:eastAsia="仿宋_GB2312" w:cs="仿宋_GB2312"/>
          <w:color w:val="000000" w:themeColor="text1"/>
          <w:sz w:val="28"/>
          <w:szCs w:val="28"/>
          <w14:textFill>
            <w14:solidFill>
              <w14:schemeClr w14:val="tx1"/>
            </w14:solidFill>
          </w14:textFill>
        </w:rPr>
        <w:t>。“十四五”期间，谋划建设</w:t>
      </w:r>
      <w:r>
        <w:rPr>
          <w:rFonts w:hint="eastAsia" w:ascii="仿宋_GB2312" w:hAnsi="仿宋_GB2312" w:eastAsia="仿宋_GB2312" w:cs="仿宋_GB2312"/>
          <w:color w:val="000000" w:themeColor="text1"/>
          <w:sz w:val="28"/>
          <w:szCs w:val="28"/>
          <w:lang w:val="zh-CN"/>
          <w14:textFill>
            <w14:solidFill>
              <w14:schemeClr w14:val="tx1"/>
            </w14:solidFill>
          </w14:textFill>
        </w:rPr>
        <w:t>废旧稀有金属交易中心、</w:t>
      </w:r>
      <w:r>
        <w:rPr>
          <w:rFonts w:hint="eastAsia" w:ascii="仿宋_GB2312" w:hAnsi="仿宋_GB2312" w:eastAsia="仿宋_GB2312" w:cs="仿宋_GB2312"/>
          <w:color w:val="000000" w:themeColor="text1"/>
          <w:sz w:val="28"/>
          <w:szCs w:val="28"/>
          <w14:textFill>
            <w14:solidFill>
              <w14:schemeClr w14:val="tx1"/>
            </w14:solidFill>
          </w14:textFill>
        </w:rPr>
        <w:t>硬质合金工具交易中心两大交易平台，提升清河市场影响力和品牌效应。</w:t>
      </w:r>
    </w:p>
    <w:p w14:paraId="03EE4FC6">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adjustRightInd w:val="0"/>
        <w:snapToGrid w:val="0"/>
        <w:spacing w:line="560" w:lineRule="exact"/>
        <w:ind w:firstLine="562" w:firstLineChars="200"/>
        <w:textAlignment w:val="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lang w:bidi="ar"/>
          <w14:textFill>
            <w14:solidFill>
              <w14:schemeClr w14:val="tx1"/>
            </w14:solidFill>
          </w14:textFill>
        </w:rPr>
        <w:t>耐火材料壮大升级。</w:t>
      </w:r>
      <w:r>
        <w:rPr>
          <w:rFonts w:ascii="仿宋_GB2312" w:hAnsi="仿宋_GB2312" w:eastAsia="仿宋_GB2312" w:cs="仿宋_GB2312"/>
          <w:color w:val="000000" w:themeColor="text1"/>
          <w:sz w:val="28"/>
          <w:szCs w:val="28"/>
          <w14:textFill>
            <w14:solidFill>
              <w14:schemeClr w14:val="tx1"/>
            </w14:solidFill>
          </w14:textFill>
        </w:rPr>
        <w:t>以市场为导向，依托区域要素优势及产业发展基础，以改造升级项目带动园区建设，骨干企业以产品升级、节能减排为重点，把清河县建设成为体量不大</w:t>
      </w: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但有特色的全国耐火材料产业示范基地。以现有骨干企业为先导，在引进资本、技术和加快新型工业化的基础上，改造整合，培育一批具有国内外先进水平的企业集团。</w:t>
      </w:r>
    </w:p>
    <w:p w14:paraId="575F538B">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adjustRightInd w:val="0"/>
        <w:snapToGrid w:val="0"/>
        <w:spacing w:line="560" w:lineRule="exact"/>
        <w:ind w:firstLine="562" w:firstLineChars="200"/>
        <w:textAlignment w:val="auto"/>
        <w:rPr>
          <w:rFonts w:ascii="仿宋_GB2312" w:hAnsi="仿宋_GB2312" w:eastAsia="仿宋_GB2312" w:cs="仿宋_GB2312"/>
          <w:b/>
          <w:color w:val="000000" w:themeColor="text1"/>
          <w:sz w:val="28"/>
          <w:szCs w:val="28"/>
          <w:lang w:bidi="ar"/>
          <w14:textFill>
            <w14:solidFill>
              <w14:schemeClr w14:val="tx1"/>
            </w14:solidFill>
          </w14:textFill>
        </w:rPr>
      </w:pPr>
      <w:r>
        <w:rPr>
          <w:rFonts w:hint="eastAsia" w:ascii="仿宋_GB2312" w:hAnsi="仿宋_GB2312" w:eastAsia="仿宋_GB2312" w:cs="仿宋_GB2312"/>
          <w:b/>
          <w:color w:val="000000" w:themeColor="text1"/>
          <w:sz w:val="28"/>
          <w:szCs w:val="28"/>
          <w:lang w:bidi="ar"/>
          <w14:textFill>
            <w14:solidFill>
              <w14:schemeClr w14:val="tx1"/>
            </w14:solidFill>
          </w14:textFill>
        </w:rPr>
        <w:t>4.战略性新兴产业</w:t>
      </w:r>
    </w:p>
    <w:p w14:paraId="3F9BAD6F">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adjustRightInd w:val="0"/>
        <w:snapToGrid w:val="0"/>
        <w:spacing w:line="560" w:lineRule="exact"/>
        <w:ind w:firstLine="560" w:firstLineChars="200"/>
        <w:textAlignment w:val="auto"/>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紧紧抓住国家发展战略性新兴产业的重要机遇，大力开展</w:t>
      </w:r>
      <w:r>
        <w:rPr>
          <w:rFonts w:hint="eastAsia" w:ascii="仿宋_GB2312" w:hAnsi="仿宋_GB2312" w:eastAsia="仿宋_GB2312" w:cs="仿宋_GB2312"/>
          <w:color w:val="000000" w:themeColor="text1"/>
          <w:sz w:val="28"/>
          <w:szCs w:val="28"/>
          <w14:textFill>
            <w14:solidFill>
              <w14:schemeClr w14:val="tx1"/>
            </w14:solidFill>
          </w14:textFill>
        </w:rPr>
        <w:t>招商选资</w:t>
      </w:r>
      <w:r>
        <w:rPr>
          <w:rFonts w:ascii="仿宋_GB2312" w:hAnsi="仿宋_GB2312" w:eastAsia="仿宋_GB2312" w:cs="仿宋_GB2312"/>
          <w:color w:val="000000" w:themeColor="text1"/>
          <w:sz w:val="28"/>
          <w:szCs w:val="28"/>
          <w14:textFill>
            <w14:solidFill>
              <w14:schemeClr w14:val="tx1"/>
            </w14:solidFill>
          </w14:textFill>
        </w:rPr>
        <w:t>，瞄准新能源、新材料、节能环保、高端装备制造、新一代信息技术等领域，引进一批市场前景好、科技含量高的战略性新兴产业项目。</w:t>
      </w:r>
    </w:p>
    <w:p w14:paraId="3CCDDF11">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adjustRightInd w:val="0"/>
        <w:snapToGrid w:val="0"/>
        <w:spacing w:line="560" w:lineRule="exact"/>
        <w:ind w:firstLine="562" w:firstLineChars="200"/>
        <w:textAlignment w:val="auto"/>
        <w:rPr>
          <w:rFonts w:ascii="仿宋_GB2312" w:eastAsia="仿宋_GB2312"/>
          <w:color w:val="000000" w:themeColor="text1"/>
          <w:sz w:val="28"/>
          <w:szCs w:val="28"/>
          <w14:textFill>
            <w14:solidFill>
              <w14:schemeClr w14:val="tx1"/>
            </w14:solidFill>
          </w14:textFill>
        </w:rPr>
      </w:pPr>
      <w:r>
        <w:rPr>
          <w:rFonts w:hint="eastAsia" w:ascii="Times New Roman" w:hAnsi="Times New Roman" w:eastAsia="仿宋_GB2312" w:cs="Times New Roman"/>
          <w:b/>
          <w:bCs/>
          <w:color w:val="000000" w:themeColor="text1"/>
          <w:sz w:val="28"/>
          <w:szCs w:val="28"/>
          <w14:textFill>
            <w14:solidFill>
              <w14:schemeClr w14:val="tx1"/>
            </w14:solidFill>
          </w14:textFill>
        </w:rPr>
        <w:t>积极推动传统产业向新兴产业拓展。</w:t>
      </w:r>
      <w:r>
        <w:rPr>
          <w:rFonts w:hint="eastAsia" w:ascii="仿宋_GB2312" w:hAnsi="仿宋_GB2312" w:eastAsia="仿宋_GB2312" w:cs="仿宋_GB2312"/>
          <w:color w:val="000000" w:themeColor="text1"/>
          <w:sz w:val="28"/>
          <w:szCs w:val="28"/>
          <w14:textFill>
            <w14:solidFill>
              <w14:schemeClr w14:val="tx1"/>
            </w14:solidFill>
          </w14:textFill>
        </w:rPr>
        <w:t>着力推动战略金属及耐火材料产业向新材料产业拓展，提升产品质量、丰富产品品类；依托中航上大城市矿产示范基地，大力发展节能环保产业；着力推动汽车及零部件产业向新能源、高端装备制造业拓展，引导企业高端起步、质量优先、重点突破。</w:t>
      </w:r>
    </w:p>
    <w:p w14:paraId="621190FD">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adjustRightInd w:val="0"/>
        <w:snapToGrid w:val="0"/>
        <w:spacing w:line="560" w:lineRule="exact"/>
        <w:ind w:firstLine="562"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eastAsia="仿宋_GB2312"/>
          <w:b/>
          <w:bCs/>
          <w:color w:val="000000" w:themeColor="text1"/>
          <w:sz w:val="28"/>
          <w:szCs w:val="28"/>
          <w14:textFill>
            <w14:solidFill>
              <w14:schemeClr w14:val="tx1"/>
            </w14:solidFill>
          </w14:textFill>
        </w:rPr>
        <w:t>积极推动新兴产业改造传统产业。</w:t>
      </w:r>
      <w:r>
        <w:rPr>
          <w:rFonts w:hint="eastAsia" w:ascii="仿宋_GB2312" w:hAnsi="仿宋_GB2312" w:eastAsia="仿宋_GB2312" w:cs="仿宋_GB2312"/>
          <w:color w:val="000000" w:themeColor="text1"/>
          <w:sz w:val="28"/>
          <w:szCs w:val="28"/>
          <w14:textFill>
            <w14:solidFill>
              <w14:schemeClr w14:val="tx1"/>
            </w14:solidFill>
          </w14:textFill>
        </w:rPr>
        <w:t>一是大力发展共享经济。加快昭友、南冠绿色染整共享平台建设，解决羊绒产业洗染环节能耗高、废水排放多、污水综合治理困难等问题，促进羊绒产业绿色发展。二是大力发展数字经济，建设冀南互联网基地，通过</w:t>
      </w:r>
      <w:r>
        <w:rPr>
          <w:rFonts w:ascii="仿宋_GB2312" w:hAnsi="仿宋_GB2312" w:eastAsia="仿宋_GB2312" w:cs="仿宋_GB2312"/>
          <w:color w:val="000000" w:themeColor="text1"/>
          <w:sz w:val="28"/>
          <w:szCs w:val="28"/>
          <w14:textFill>
            <w14:solidFill>
              <w14:schemeClr w14:val="tx1"/>
            </w14:solidFill>
          </w14:textFill>
        </w:rPr>
        <w:t>平台资源共享、创新政策激励等吸引</w:t>
      </w:r>
      <w:r>
        <w:rPr>
          <w:rFonts w:hint="eastAsia" w:ascii="仿宋_GB2312" w:hAnsi="仿宋_GB2312" w:eastAsia="仿宋_GB2312" w:cs="仿宋_GB2312"/>
          <w:color w:val="000000" w:themeColor="text1"/>
          <w:sz w:val="28"/>
          <w:szCs w:val="28"/>
          <w14:textFill>
            <w14:solidFill>
              <w14:schemeClr w14:val="tx1"/>
            </w14:solidFill>
          </w14:textFill>
        </w:rPr>
        <w:t>大数据信息产业</w:t>
      </w:r>
      <w:r>
        <w:rPr>
          <w:rFonts w:ascii="仿宋_GB2312" w:hAnsi="仿宋_GB2312" w:eastAsia="仿宋_GB2312" w:cs="仿宋_GB2312"/>
          <w:color w:val="000000" w:themeColor="text1"/>
          <w:sz w:val="28"/>
          <w:szCs w:val="28"/>
          <w14:textFill>
            <w14:solidFill>
              <w14:schemeClr w14:val="tx1"/>
            </w14:solidFill>
          </w14:textFill>
        </w:rPr>
        <w:t>主体入驻，</w:t>
      </w:r>
      <w:r>
        <w:rPr>
          <w:rFonts w:hint="eastAsia" w:ascii="仿宋_GB2312" w:hAnsi="仿宋_GB2312" w:eastAsia="仿宋_GB2312" w:cs="仿宋_GB2312"/>
          <w:color w:val="000000" w:themeColor="text1"/>
          <w:sz w:val="28"/>
          <w:szCs w:val="28"/>
          <w14:textFill>
            <w14:solidFill>
              <w14:schemeClr w14:val="tx1"/>
            </w14:solidFill>
          </w14:textFill>
        </w:rPr>
        <w:t>助推大数据产业与实体经济融合发展。</w:t>
      </w:r>
      <w:bookmarkStart w:id="181" w:name="_Toc9037"/>
    </w:p>
    <w:p w14:paraId="6467DCDE">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adjustRightInd w:val="0"/>
        <w:snapToGrid w:val="0"/>
        <w:spacing w:line="560" w:lineRule="exact"/>
        <w:ind w:firstLine="560" w:firstLineChars="200"/>
        <w:textAlignment w:val="auto"/>
        <w:rPr>
          <w:rFonts w:ascii="楷体_GB2312" w:hAnsi="楷体_GB2312" w:eastAsia="楷体_GB2312" w:cs="楷体_GB2312"/>
          <w:b w:val="0"/>
          <w:bCs/>
          <w:color w:val="000000" w:themeColor="text1"/>
          <w:kern w:val="0"/>
          <w:sz w:val="28"/>
          <w:szCs w:val="28"/>
          <w14:textFill>
            <w14:solidFill>
              <w14:schemeClr w14:val="tx1"/>
            </w14:solidFill>
          </w14:textFill>
        </w:rPr>
      </w:pPr>
      <w:r>
        <w:rPr>
          <w:rFonts w:hint="eastAsia" w:ascii="楷体_GB2312" w:hAnsi="楷体_GB2312" w:eastAsia="楷体_GB2312" w:cs="楷体_GB2312"/>
          <w:b w:val="0"/>
          <w:bCs/>
          <w:color w:val="000000" w:themeColor="text1"/>
          <w:kern w:val="0"/>
          <w:sz w:val="28"/>
          <w:szCs w:val="28"/>
          <w14:textFill>
            <w14:solidFill>
              <w14:schemeClr w14:val="tx1"/>
            </w14:solidFill>
          </w14:textFill>
        </w:rPr>
        <w:t>（三）着力推进现代服务业优质化</w:t>
      </w:r>
      <w:bookmarkEnd w:id="181"/>
    </w:p>
    <w:p w14:paraId="7ACCACF2">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adjustRightInd w:val="0"/>
        <w:snapToGrid w:val="0"/>
        <w:spacing w:line="560" w:lineRule="exact"/>
        <w:ind w:firstLine="560" w:firstLineChars="200"/>
        <w:textAlignment w:val="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积极围绕转型发展需求，推动电子商务、现代物流、数字经济等生产性服务业向专业化和高端化发展，加快推动文化旅游等生活性服务业向精细化和优质化发展，着力构建与创新驱动发展要求相适应，与中高端制造业发展相融合，与城市品质提升相匹配的现代服务业体系。</w:t>
      </w:r>
    </w:p>
    <w:p w14:paraId="73FB95D6">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adjustRightInd w:val="0"/>
        <w:snapToGrid w:val="0"/>
        <w:spacing w:line="560" w:lineRule="exact"/>
        <w:ind w:firstLine="562" w:firstLineChars="200"/>
        <w:textAlignment w:val="auto"/>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1.积极发展生产性服务业</w:t>
      </w:r>
    </w:p>
    <w:p w14:paraId="75BE85A5">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adjustRightInd w:val="0"/>
        <w:snapToGrid w:val="0"/>
        <w:spacing w:line="560" w:lineRule="exact"/>
        <w:ind w:firstLine="562" w:firstLineChars="200"/>
        <w:textAlignment w:val="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大力发展电子商务业。</w:t>
      </w:r>
      <w:r>
        <w:rPr>
          <w:rFonts w:hint="eastAsia" w:ascii="仿宋_GB2312" w:hAnsi="仿宋_GB2312" w:eastAsia="仿宋_GB2312" w:cs="仿宋_GB2312"/>
          <w:color w:val="000000" w:themeColor="text1"/>
          <w:sz w:val="28"/>
          <w:szCs w:val="28"/>
          <w14:textFill>
            <w14:solidFill>
              <w14:schemeClr w14:val="tx1"/>
            </w14:solidFill>
          </w14:textFill>
        </w:rPr>
        <w:t>继续深化“国家级电子商务示范基地”及“国家级电子商务进农村示范县”建设，把电子商务作为重要战略性新兴产业和县域经济发展重要支柱。</w:t>
      </w:r>
      <w:r>
        <w:rPr>
          <w:rFonts w:hint="eastAsia" w:ascii="仿宋_GB2312" w:hAnsi="仿宋_GB2312" w:eastAsia="仿宋_GB2312" w:cs="仿宋_GB2312"/>
          <w:b/>
          <w:bCs/>
          <w:color w:val="000000" w:themeColor="text1"/>
          <w:sz w:val="28"/>
          <w:szCs w:val="28"/>
          <w14:textFill>
            <w14:solidFill>
              <w14:schemeClr w14:val="tx1"/>
            </w14:solidFill>
          </w14:textFill>
        </w:rPr>
        <w:t>一是</w:t>
      </w:r>
      <w:r>
        <w:rPr>
          <w:rFonts w:hint="eastAsia" w:ascii="仿宋_GB2312" w:hAnsi="仿宋_GB2312" w:eastAsia="仿宋_GB2312" w:cs="仿宋_GB2312"/>
          <w:color w:val="000000" w:themeColor="text1"/>
          <w:sz w:val="28"/>
          <w:szCs w:val="28"/>
          <w14:textFill>
            <w14:solidFill>
              <w14:schemeClr w14:val="tx1"/>
            </w14:solidFill>
          </w14:textFill>
        </w:rPr>
        <w:t>加速推动传统实体企业的电子商务化，推动其线下销售与线上销售相结合，逐步提高实体企业开展电子商务的比例，提高其网络交易额比例。</w:t>
      </w:r>
      <w:r>
        <w:rPr>
          <w:rFonts w:hint="eastAsia" w:ascii="仿宋_GB2312" w:hAnsi="仿宋_GB2312" w:eastAsia="仿宋_GB2312" w:cs="仿宋_GB2312"/>
          <w:b/>
          <w:bCs/>
          <w:color w:val="000000" w:themeColor="text1"/>
          <w:sz w:val="28"/>
          <w:szCs w:val="28"/>
          <w14:textFill>
            <w14:solidFill>
              <w14:schemeClr w14:val="tx1"/>
            </w14:solidFill>
          </w14:textFill>
        </w:rPr>
        <w:t>二是</w:t>
      </w:r>
      <w:r>
        <w:rPr>
          <w:rFonts w:hint="eastAsia" w:ascii="仿宋_GB2312" w:hAnsi="仿宋_GB2312" w:eastAsia="仿宋_GB2312" w:cs="仿宋_GB2312"/>
          <w:color w:val="000000" w:themeColor="text1"/>
          <w:sz w:val="28"/>
          <w:szCs w:val="28"/>
          <w14:textFill>
            <w14:solidFill>
              <w14:schemeClr w14:val="tx1"/>
            </w14:solidFill>
          </w14:textFill>
        </w:rPr>
        <w:t>认真贯彻落实全省电子商务进农村工作要求，继续拓展农村电商服务站相关功能，着力开发、培育清河特色农产品，与主流第三方平台合作开设“特色清河”品牌馆，促进“三品一标”“名特优新”“一村一品”农产品上网销售。</w:t>
      </w:r>
      <w:r>
        <w:rPr>
          <w:rFonts w:hint="eastAsia" w:ascii="仿宋_GB2312" w:hAnsi="仿宋_GB2312" w:eastAsia="仿宋_GB2312" w:cs="仿宋_GB2312"/>
          <w:b/>
          <w:bCs/>
          <w:color w:val="000000" w:themeColor="text1"/>
          <w:sz w:val="28"/>
          <w:szCs w:val="28"/>
          <w14:textFill>
            <w14:solidFill>
              <w14:schemeClr w14:val="tx1"/>
            </w14:solidFill>
          </w14:textFill>
        </w:rPr>
        <w:t>三是</w:t>
      </w:r>
      <w:r>
        <w:rPr>
          <w:rFonts w:hint="eastAsia" w:ascii="仿宋_GB2312" w:hAnsi="仿宋_GB2312" w:eastAsia="仿宋_GB2312" w:cs="仿宋_GB2312"/>
          <w:color w:val="000000" w:themeColor="text1"/>
          <w:sz w:val="28"/>
          <w:szCs w:val="28"/>
          <w14:textFill>
            <w14:solidFill>
              <w14:schemeClr w14:val="tx1"/>
            </w14:solidFill>
          </w14:textFill>
        </w:rPr>
        <w:t>依托羊绒小镇，做好电商新业态平台建设，积极推进电子商务产业园发展，加快电商直播基地、新电商孵化中心、跨境电商服务站、网红步行街建设，打造集网红直播+跨境电商+智能制造于一体的北方“网红之城”。</w:t>
      </w:r>
      <w:r>
        <w:rPr>
          <w:rFonts w:hint="eastAsia" w:ascii="仿宋_GB2312" w:hAnsi="仿宋_GB2312" w:eastAsia="仿宋_GB2312" w:cs="仿宋_GB2312"/>
          <w:b/>
          <w:bCs/>
          <w:color w:val="000000" w:themeColor="text1"/>
          <w:sz w:val="28"/>
          <w:szCs w:val="28"/>
          <w14:textFill>
            <w14:solidFill>
              <w14:schemeClr w14:val="tx1"/>
            </w14:solidFill>
          </w14:textFill>
        </w:rPr>
        <w:t>四是</w:t>
      </w:r>
      <w:r>
        <w:rPr>
          <w:rFonts w:hint="eastAsia" w:ascii="仿宋_GB2312" w:hAnsi="仿宋_GB2312" w:eastAsia="仿宋_GB2312" w:cs="仿宋_GB2312"/>
          <w:color w:val="000000" w:themeColor="text1"/>
          <w:sz w:val="28"/>
          <w:szCs w:val="28"/>
          <w14:textFill>
            <w14:solidFill>
              <w14:schemeClr w14:val="tx1"/>
            </w14:solidFill>
          </w14:textFill>
        </w:rPr>
        <w:t>鼓励发展跨境电子商务，完善跨境电商产业园基础设施与功能，主动适应电子商务全球化趋势，积极营造发展跨境电子商务良好氛围，逐步引导20-30家传统企业发展跨境式B2B、B2C，逐步扩大跨境电商的外贸出口占比。</w:t>
      </w:r>
      <w:r>
        <w:rPr>
          <w:rFonts w:hint="eastAsia" w:ascii="仿宋_GB2312" w:hAnsi="仿宋_GB2312" w:eastAsia="仿宋_GB2312" w:cs="仿宋_GB2312"/>
          <w:b/>
          <w:bCs/>
          <w:color w:val="000000" w:themeColor="text1"/>
          <w:sz w:val="28"/>
          <w:szCs w:val="28"/>
          <w14:textFill>
            <w14:solidFill>
              <w14:schemeClr w14:val="tx1"/>
            </w14:solidFill>
          </w14:textFill>
        </w:rPr>
        <w:t>五是</w:t>
      </w:r>
      <w:r>
        <w:rPr>
          <w:rFonts w:hint="eastAsia" w:ascii="仿宋_GB2312" w:hAnsi="仿宋_GB2312" w:eastAsia="仿宋_GB2312" w:cs="仿宋_GB2312"/>
          <w:color w:val="000000" w:themeColor="text1"/>
          <w:sz w:val="28"/>
          <w:szCs w:val="28"/>
          <w14:textFill>
            <w14:solidFill>
              <w14:schemeClr w14:val="tx1"/>
            </w14:solidFill>
          </w14:textFill>
        </w:rPr>
        <w:t>全面普及各领域电子商务应用，逐步推进电子商务在旅游、金融、医疗、社区服务、政府采购、物流、培训等领域应用，逐步建立相应的电子商务服务平台。到2025年，电子商务交易额突破150亿元，网店数量达到5万家，其中跨境电商交易额达到5亿元以上。</w:t>
      </w:r>
    </w:p>
    <w:p w14:paraId="57E1799B">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adjustRightInd w:val="0"/>
        <w:snapToGrid w:val="0"/>
        <w:spacing w:line="560" w:lineRule="exact"/>
        <w:ind w:firstLine="562" w:firstLineChars="200"/>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大力发展现代物流业。</w:t>
      </w:r>
      <w:r>
        <w:rPr>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t>以“内外联通、区域联通、供需联通、产业联通”为目标，全力提升现代物流业在促进区域协调发展、引领产业融合发展中的关键作用。</w:t>
      </w:r>
      <w:r>
        <w:rPr>
          <w:rFonts w:hint="eastAsia" w:ascii="仿宋_GB2312" w:hAnsi="仿宋_GB2312" w:eastAsia="仿宋_GB2312" w:cs="仿宋_GB2312"/>
          <w:b/>
          <w:bCs/>
          <w:color w:val="000000" w:themeColor="text1"/>
          <w:sz w:val="28"/>
          <w:szCs w:val="28"/>
          <w14:textFill>
            <w14:solidFill>
              <w14:schemeClr w14:val="tx1"/>
            </w14:solidFill>
          </w14:textFill>
        </w:rPr>
        <w:t>着力培育市场主体。</w:t>
      </w:r>
      <w:r>
        <w:rPr>
          <w:rFonts w:hint="eastAsia" w:ascii="仿宋_GB2312" w:hAnsi="仿宋_GB2312" w:eastAsia="仿宋_GB2312" w:cs="仿宋_GB2312"/>
          <w:color w:val="000000" w:themeColor="text1"/>
          <w:sz w:val="28"/>
          <w:szCs w:val="28"/>
          <w14:textFill>
            <w14:solidFill>
              <w14:schemeClr w14:val="tx1"/>
            </w14:solidFill>
          </w14:textFill>
        </w:rPr>
        <w:t>鼓励制造业企业利用现有的仓储库房、运输车辆及原材料等资产，投资组建独立的现代物流企业，对企业生产资料和产品实行统一配送，同时面向社会提供第三方物流服务。</w:t>
      </w:r>
      <w:r>
        <w:rPr>
          <w:rFonts w:hint="eastAsia" w:ascii="仿宋_GB2312" w:hAnsi="仿宋_GB2312" w:eastAsia="仿宋_GB2312" w:cs="仿宋_GB2312"/>
          <w:b/>
          <w:bCs/>
          <w:color w:val="000000" w:themeColor="text1"/>
          <w:sz w:val="28"/>
          <w:szCs w:val="28"/>
          <w14:textFill>
            <w14:solidFill>
              <w14:schemeClr w14:val="tx1"/>
            </w14:solidFill>
          </w14:textFill>
        </w:rPr>
        <w:t>着力发展供应链物流。</w:t>
      </w:r>
      <w:r>
        <w:rPr>
          <w:rFonts w:hint="eastAsia" w:ascii="仿宋_GB2312" w:hAnsi="仿宋_GB2312" w:eastAsia="仿宋_GB2312" w:cs="仿宋_GB2312"/>
          <w:color w:val="000000" w:themeColor="text1"/>
          <w:sz w:val="28"/>
          <w:szCs w:val="28"/>
          <w14:textFill>
            <w14:solidFill>
              <w14:schemeClr w14:val="tx1"/>
            </w14:solidFill>
          </w14:textFill>
        </w:rPr>
        <w:t>支持物流企业提升供应链管理服务，提高物流企业配送的信息化、智能化、精准化水平，推广企业零库存管理等现代企业管理模式。</w:t>
      </w:r>
      <w:r>
        <w:rPr>
          <w:rFonts w:hint="eastAsia" w:ascii="仿宋_GB2312" w:hAnsi="仿宋_GB2312" w:eastAsia="仿宋_GB2312" w:cs="仿宋_GB2312"/>
          <w:b/>
          <w:bCs/>
          <w:color w:val="000000" w:themeColor="text1"/>
          <w:sz w:val="28"/>
          <w:szCs w:val="28"/>
          <w14:textFill>
            <w14:solidFill>
              <w14:schemeClr w14:val="tx1"/>
            </w14:solidFill>
          </w14:textFill>
        </w:rPr>
        <w:t>着力发展电商物流。</w:t>
      </w:r>
      <w:r>
        <w:rPr>
          <w:rFonts w:hint="eastAsia" w:ascii="仿宋_GB2312" w:hAnsi="仿宋_GB2312" w:eastAsia="仿宋_GB2312" w:cs="仿宋_GB2312"/>
          <w:color w:val="000000" w:themeColor="text1"/>
          <w:sz w:val="28"/>
          <w:szCs w:val="28"/>
          <w14:textFill>
            <w14:solidFill>
              <w14:schemeClr w14:val="tx1"/>
            </w14:solidFill>
          </w14:textFill>
        </w:rPr>
        <w:t>积极对接阿里巴巴产地仓项目，谋划在清河建立羊绒服饰产地仓，降低物流成本，提升订单效率，塑造品牌效应。“十四五”期间，基本建成以规模化、区域化、数字化、绿色化和集约化为特征的现代物流服务体系，全县A级及以上的物流企业总数达到</w:t>
      </w:r>
      <w:r>
        <w:rPr>
          <w:rFonts w:hint="eastAsia" w:ascii="仿宋_GB2312" w:hAnsi="仿宋_GB2312" w:eastAsia="仿宋_GB2312" w:cs="仿宋_GB2312"/>
          <w:color w:val="000000" w:themeColor="text1"/>
          <w:kern w:val="0"/>
          <w:sz w:val="28"/>
          <w:szCs w:val="28"/>
          <w14:textFill>
            <w14:solidFill>
              <w14:schemeClr w14:val="tx1"/>
            </w14:solidFill>
          </w14:textFill>
        </w:rPr>
        <w:t>10家以上，其中2A级以上物流企业达到2家以上。</w:t>
      </w:r>
    </w:p>
    <w:p w14:paraId="7F510C41">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adjustRightInd w:val="0"/>
        <w:snapToGrid w:val="0"/>
        <w:spacing w:line="560" w:lineRule="exact"/>
        <w:ind w:firstLine="562" w:firstLineChars="200"/>
        <w:textAlignment w:val="auto"/>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2.全面发展生活性服务业</w:t>
      </w:r>
    </w:p>
    <w:p w14:paraId="601C9886">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adjustRightInd w:val="0"/>
        <w:snapToGrid w:val="0"/>
        <w:spacing w:line="560" w:lineRule="exact"/>
        <w:ind w:firstLine="560" w:firstLineChars="200"/>
        <w:textAlignment w:val="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重点发展贴近服务人民群众生活、需求潜力大、带动作用强的生活性服务领域，推动生活消费方式由生存型、传统型、物质型向发展型、现代型、服务型转变。</w:t>
      </w:r>
    </w:p>
    <w:p w14:paraId="506D4B25">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adjustRightInd w:val="0"/>
        <w:snapToGrid w:val="0"/>
        <w:spacing w:line="560" w:lineRule="exact"/>
        <w:ind w:firstLine="562" w:firstLineChars="200"/>
        <w:textAlignment w:val="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繁荣发展商贸服务业。</w:t>
      </w:r>
      <w:r>
        <w:rPr>
          <w:rFonts w:hint="eastAsia" w:ascii="仿宋_GB2312" w:hAnsi="仿宋_GB2312" w:eastAsia="仿宋_GB2312" w:cs="仿宋_GB2312"/>
          <w:color w:val="000000" w:themeColor="text1"/>
          <w:sz w:val="28"/>
          <w:szCs w:val="28"/>
          <w14:textFill>
            <w14:solidFill>
              <w14:schemeClr w14:val="tx1"/>
            </w14:solidFill>
          </w14:textFill>
        </w:rPr>
        <w:t>加快城市经济综合体的培育和建设，逐步打造若干个城市特色商圈和商业步行街，以此为清河县促进消费升级、振兴商贸业的重要抓手</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加快冀东南区域中心城市建设，辐射周边区域。推进品牌连锁便利店建设，满足人民群众生活需求。</w:t>
      </w:r>
    </w:p>
    <w:p w14:paraId="7492B4F9">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adjustRightInd w:val="0"/>
        <w:snapToGrid w:val="0"/>
        <w:spacing w:line="560" w:lineRule="exact"/>
        <w:ind w:firstLine="562" w:firstLineChars="200"/>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着力发展文化旅游业。</w:t>
      </w:r>
      <w:r>
        <w:rPr>
          <w:rFonts w:hint="eastAsia" w:ascii="仿宋_GB2312" w:hAnsi="仿宋_GB2312" w:eastAsia="仿宋_GB2312" w:cs="仿宋_GB2312"/>
          <w:color w:val="000000" w:themeColor="text1"/>
          <w:sz w:val="28"/>
          <w:szCs w:val="28"/>
          <w14:textFill>
            <w14:solidFill>
              <w14:schemeClr w14:val="tx1"/>
            </w14:solidFill>
          </w14:textFill>
        </w:rPr>
        <w:t>依托清河丰厚的历史文化底蕴，以及羊绒、特色农业等优势产业，构建“1（龙头引领）+3（特色线路）”的全域旅游体系，打造北方平原县域旅游先行区。</w:t>
      </w:r>
      <w:r>
        <w:rPr>
          <w:rFonts w:hint="eastAsia" w:ascii="仿宋_GB2312" w:hAnsi="仿宋_GB2312" w:eastAsia="仿宋_GB2312" w:cs="仿宋_GB2312"/>
          <w:b/>
          <w:bCs/>
          <w:color w:val="000000" w:themeColor="text1"/>
          <w:sz w:val="28"/>
          <w:szCs w:val="28"/>
          <w14:textFill>
            <w14:solidFill>
              <w14:schemeClr w14:val="tx1"/>
            </w14:solidFill>
          </w14:textFill>
        </w:rPr>
        <w:t>一个龙头引领，</w:t>
      </w:r>
      <w:r>
        <w:rPr>
          <w:rFonts w:hint="eastAsia" w:ascii="仿宋_GB2312" w:hAnsi="仿宋_GB2312" w:eastAsia="仿宋_GB2312" w:cs="仿宋_GB2312"/>
          <w:color w:val="000000" w:themeColor="text1"/>
          <w:sz w:val="28"/>
          <w:szCs w:val="28"/>
          <w14:textFill>
            <w14:solidFill>
              <w14:schemeClr w14:val="tx1"/>
            </w14:solidFill>
          </w14:textFill>
        </w:rPr>
        <w:t>即大运河文化旅游带，</w:t>
      </w:r>
      <w:r>
        <w:rPr>
          <w:rFonts w:hint="eastAsia" w:ascii="仿宋_GB2312" w:hAnsi="仿宋_GB2312" w:eastAsia="仿宋_GB2312" w:cs="仿宋_GB2312"/>
          <w:color w:val="000000" w:themeColor="text1"/>
          <w:sz w:val="28"/>
          <w:szCs w:val="28"/>
          <w:lang w:eastAsia="zh-CN"/>
          <w14:textFill>
            <w14:solidFill>
              <w14:schemeClr w14:val="tx1"/>
            </w14:solidFill>
          </w14:textFill>
        </w:rPr>
        <w:t>挖掘</w:t>
      </w:r>
      <w:r>
        <w:rPr>
          <w:rFonts w:hint="eastAsia" w:ascii="仿宋_GB2312" w:hAnsi="仿宋_GB2312" w:eastAsia="仿宋_GB2312" w:cs="仿宋_GB2312"/>
          <w:color w:val="000000" w:themeColor="text1"/>
          <w:sz w:val="28"/>
          <w:szCs w:val="28"/>
          <w14:textFill>
            <w14:solidFill>
              <w14:schemeClr w14:val="tx1"/>
            </w14:solidFill>
          </w14:textFill>
        </w:rPr>
        <w:t>大运河油坊码头、朱唐口险工等3个国保单位历史文化资源，建设大运河文化景观长廊，谋划开挖隋唐古运河，</w:t>
      </w:r>
      <w:r>
        <w:rPr>
          <w:rFonts w:hint="eastAsia" w:ascii="仿宋_GB2312" w:hAnsi="仿宋_GB2312" w:eastAsia="仿宋_GB2312" w:cs="仿宋_GB2312"/>
          <w:color w:val="000000" w:themeColor="text1"/>
          <w:sz w:val="28"/>
          <w:szCs w:val="28"/>
          <w:lang w:eastAsia="zh-CN"/>
          <w14:textFill>
            <w14:solidFill>
              <w14:schemeClr w14:val="tx1"/>
            </w14:solidFill>
          </w14:textFill>
        </w:rPr>
        <w:t>统筹</w:t>
      </w:r>
      <w:r>
        <w:rPr>
          <w:rFonts w:hint="eastAsia" w:ascii="仿宋_GB2312" w:hAnsi="仿宋_GB2312" w:eastAsia="仿宋_GB2312" w:cs="仿宋_GB2312"/>
          <w:color w:val="000000" w:themeColor="text1"/>
          <w:sz w:val="28"/>
          <w:szCs w:val="28"/>
          <w14:textFill>
            <w14:solidFill>
              <w14:schemeClr w14:val="tx1"/>
            </w14:solidFill>
          </w14:textFill>
        </w:rPr>
        <w:t>推进景区开发、生态建设、文化传承等工作，打造旅游名片，引领全县旅游业发展。</w:t>
      </w:r>
      <w:r>
        <w:rPr>
          <w:rFonts w:hint="eastAsia" w:ascii="仿宋_GB2312" w:hAnsi="仿宋_GB2312" w:eastAsia="仿宋_GB2312" w:cs="仿宋_GB2312"/>
          <w:b/>
          <w:bCs/>
          <w:color w:val="000000" w:themeColor="text1"/>
          <w:sz w:val="28"/>
          <w:szCs w:val="28"/>
          <w14:textFill>
            <w14:solidFill>
              <w14:schemeClr w14:val="tx1"/>
            </w14:solidFill>
          </w14:textFill>
        </w:rPr>
        <w:t>打造一条文化旅游线路，</w:t>
      </w:r>
      <w:r>
        <w:rPr>
          <w:rFonts w:hint="eastAsia" w:ascii="仿宋_GB2312" w:hAnsi="仿宋_GB2312" w:eastAsia="仿宋_GB2312" w:cs="仿宋_GB2312"/>
          <w:color w:val="000000" w:themeColor="text1"/>
          <w:sz w:val="28"/>
          <w:szCs w:val="28"/>
          <w14:textFill>
            <w14:solidFill>
              <w14:schemeClr w14:val="tx1"/>
            </w14:solidFill>
          </w14:textFill>
        </w:rPr>
        <w:t>依托古贝州城遗址、张氏祖庭、武植墓等，深入挖掘整合张氏文化、运河文化、武松文化、金瓶梅文化、状元文化等特色为文物文化资源，发展特色文化旅游。</w:t>
      </w:r>
      <w:r>
        <w:rPr>
          <w:rFonts w:hint="eastAsia" w:ascii="仿宋_GB2312" w:hAnsi="仿宋_GB2312" w:eastAsia="仿宋_GB2312" w:cs="仿宋_GB2312"/>
          <w:b/>
          <w:bCs/>
          <w:color w:val="000000" w:themeColor="text1"/>
          <w:sz w:val="28"/>
          <w:szCs w:val="28"/>
          <w14:textFill>
            <w14:solidFill>
              <w14:schemeClr w14:val="tx1"/>
            </w14:solidFill>
          </w14:textFill>
        </w:rPr>
        <w:t>打造一条产业旅游线路，</w:t>
      </w:r>
      <w:r>
        <w:rPr>
          <w:rFonts w:hint="eastAsia" w:ascii="仿宋_GB2312" w:hAnsi="仿宋_GB2312" w:eastAsia="仿宋_GB2312" w:cs="仿宋_GB2312"/>
          <w:color w:val="000000" w:themeColor="text1"/>
          <w:sz w:val="28"/>
          <w:szCs w:val="28"/>
          <w14:textFill>
            <w14:solidFill>
              <w14:schemeClr w14:val="tx1"/>
            </w14:solidFill>
          </w14:textFill>
        </w:rPr>
        <w:t>依托羊绒小镇，加快完善旅游配套设施，提升接待能力，打造“AAAA”级景区，统筹开通周边主要城市的旅游大巴，发展工业体验旅游。</w:t>
      </w:r>
      <w:r>
        <w:rPr>
          <w:rFonts w:hint="eastAsia" w:ascii="仿宋_GB2312" w:hAnsi="仿宋_GB2312" w:eastAsia="仿宋_GB2312" w:cs="仿宋_GB2312"/>
          <w:b/>
          <w:bCs/>
          <w:color w:val="000000" w:themeColor="text1"/>
          <w:sz w:val="28"/>
          <w:szCs w:val="28"/>
          <w14:textFill>
            <w14:solidFill>
              <w14:schemeClr w14:val="tx1"/>
            </w14:solidFill>
          </w14:textFill>
        </w:rPr>
        <w:t>打造一条生态旅游线路，</w:t>
      </w:r>
      <w:r>
        <w:rPr>
          <w:rFonts w:hint="eastAsia" w:ascii="仿宋_GB2312" w:hAnsi="仿宋_GB2312" w:eastAsia="仿宋_GB2312" w:cs="仿宋_GB2312"/>
          <w:color w:val="000000" w:themeColor="text1"/>
          <w:sz w:val="28"/>
          <w:szCs w:val="28"/>
          <w14:textFill>
            <w14:solidFill>
              <w14:schemeClr w14:val="tx1"/>
            </w14:solidFill>
          </w14:textFill>
        </w:rPr>
        <w:t>依托万亩山楂生态林，着力包装提升“赏花节”“采摘节”，发展休闲农业生态旅游。“十四五”期间，</w:t>
      </w:r>
      <w:r>
        <w:rPr>
          <w:rFonts w:hint="eastAsia" w:ascii="仿宋_GB2312" w:hAnsi="仿宋_GB2312" w:eastAsia="仿宋_GB2312" w:cs="仿宋_GB2312"/>
          <w:color w:val="000000" w:themeColor="text1"/>
          <w:kern w:val="0"/>
          <w:sz w:val="28"/>
          <w:szCs w:val="28"/>
          <w14:textFill>
            <w14:solidFill>
              <w14:schemeClr w14:val="tx1"/>
            </w14:solidFill>
          </w14:textFill>
        </w:rPr>
        <w:t>高标准办好2021年全市旅发大会</w:t>
      </w:r>
      <w:r>
        <w:rPr>
          <w:rFonts w:hint="eastAsia" w:ascii="仿宋_GB2312" w:hAnsi="仿宋_GB2312" w:eastAsia="仿宋_GB2312" w:cs="仿宋_GB2312"/>
          <w:color w:val="000000" w:themeColor="text1"/>
          <w:sz w:val="28"/>
          <w:szCs w:val="28"/>
          <w14:textFill>
            <w14:solidFill>
              <w14:schemeClr w14:val="tx1"/>
            </w14:solidFill>
          </w14:textFill>
        </w:rPr>
        <w:t>，以此为引领推动全县旅游业快速发展，到2025年实现旅游业年营</w:t>
      </w:r>
      <w:r>
        <w:rPr>
          <w:rFonts w:hint="eastAsia" w:ascii="仿宋_GB2312" w:hAnsi="仿宋_GB2312" w:eastAsia="仿宋_GB2312" w:cs="仿宋_GB2312"/>
          <w:color w:val="000000" w:themeColor="text1"/>
          <w:kern w:val="0"/>
          <w:sz w:val="28"/>
          <w:szCs w:val="28"/>
          <w14:textFill>
            <w14:solidFill>
              <w14:schemeClr w14:val="tx1"/>
            </w14:solidFill>
          </w14:textFill>
        </w:rPr>
        <w:t>业收入突破</w:t>
      </w:r>
      <w:r>
        <w:rPr>
          <w:rFonts w:ascii="仿宋_GB2312" w:hAnsi="仿宋_GB2312" w:eastAsia="仿宋_GB2312" w:cs="仿宋_GB2312"/>
          <w:color w:val="000000" w:themeColor="text1"/>
          <w:kern w:val="0"/>
          <w:sz w:val="28"/>
          <w:szCs w:val="28"/>
          <w14:textFill>
            <w14:solidFill>
              <w14:schemeClr w14:val="tx1"/>
            </w14:solidFill>
          </w14:textFill>
        </w:rPr>
        <w:t>240</w:t>
      </w:r>
      <w:r>
        <w:rPr>
          <w:rFonts w:hint="eastAsia" w:ascii="仿宋_GB2312" w:hAnsi="仿宋_GB2312" w:eastAsia="仿宋_GB2312" w:cs="仿宋_GB2312"/>
          <w:color w:val="000000" w:themeColor="text1"/>
          <w:kern w:val="0"/>
          <w:sz w:val="28"/>
          <w:szCs w:val="28"/>
          <w14:textFill>
            <w14:solidFill>
              <w14:schemeClr w14:val="tx1"/>
            </w14:solidFill>
          </w14:textFill>
        </w:rPr>
        <w:t>亿元。</w:t>
      </w:r>
      <w:bookmarkStart w:id="182" w:name="_Toc7017"/>
    </w:p>
    <w:p w14:paraId="330E17DA">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adjustRightInd w:val="0"/>
        <w:snapToGrid w:val="0"/>
        <w:spacing w:line="560" w:lineRule="exact"/>
        <w:ind w:firstLine="560" w:firstLineChars="200"/>
        <w:textAlignment w:val="auto"/>
        <w:rPr>
          <w:rFonts w:ascii="楷体_GB2312" w:hAnsi="楷体_GB2312" w:eastAsia="楷体_GB2312" w:cs="楷体_GB2312"/>
          <w:b w:val="0"/>
          <w:bCs/>
          <w:color w:val="000000" w:themeColor="text1"/>
          <w:kern w:val="0"/>
          <w:sz w:val="28"/>
          <w:szCs w:val="28"/>
          <w14:textFill>
            <w14:solidFill>
              <w14:schemeClr w14:val="tx1"/>
            </w14:solidFill>
          </w14:textFill>
        </w:rPr>
      </w:pPr>
      <w:r>
        <w:rPr>
          <w:rFonts w:hint="eastAsia" w:ascii="楷体_GB2312" w:hAnsi="楷体_GB2312" w:eastAsia="楷体_GB2312" w:cs="楷体_GB2312"/>
          <w:b w:val="0"/>
          <w:bCs/>
          <w:color w:val="000000" w:themeColor="text1"/>
          <w:kern w:val="0"/>
          <w:sz w:val="28"/>
          <w:szCs w:val="28"/>
          <w14:textFill>
            <w14:solidFill>
              <w14:schemeClr w14:val="tx1"/>
            </w14:solidFill>
          </w14:textFill>
        </w:rPr>
        <w:t>（四）着力提升对外开放水平</w:t>
      </w:r>
      <w:bookmarkEnd w:id="182"/>
    </w:p>
    <w:p w14:paraId="667B078F">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 w:eastAsia="仿宋_GB2312" w:cs="宋体"/>
          <w:color w:val="000000" w:themeColor="text1"/>
          <w:kern w:val="0"/>
          <w:sz w:val="28"/>
          <w:szCs w:val="28"/>
          <w14:textFill>
            <w14:solidFill>
              <w14:schemeClr w14:val="tx1"/>
            </w14:solidFill>
          </w14:textFill>
        </w:rPr>
      </w:pPr>
      <w:r>
        <w:rPr>
          <w:rFonts w:hint="eastAsia" w:ascii="仿宋_GB2312" w:hAnsi="仿宋" w:eastAsia="仿宋_GB2312" w:cs="宋体"/>
          <w:color w:val="000000" w:themeColor="text1"/>
          <w:kern w:val="0"/>
          <w:sz w:val="28"/>
          <w:szCs w:val="28"/>
          <w14:textFill>
            <w14:solidFill>
              <w14:schemeClr w14:val="tx1"/>
            </w14:solidFill>
          </w14:textFill>
        </w:rPr>
        <w:t>顺应全球开放合作变化新形势，加强全方位对外开放合作，高质量走出去，高水平引进来，推动全县外资外贸上新台阶，以高水平对外开放打造国际合作和竞争新优势。</w:t>
      </w:r>
      <w:bookmarkStart w:id="183" w:name="_Toc29134"/>
      <w:bookmarkStart w:id="184" w:name="_Toc22191"/>
      <w:r>
        <w:rPr>
          <w:rFonts w:hint="eastAsia" w:ascii="Times New Roman" w:hAnsi="Times New Roman" w:eastAsia="仿宋_GB2312" w:cs="Times New Roman"/>
          <w:b/>
          <w:bCs/>
          <w:color w:val="000000" w:themeColor="text1"/>
          <w:sz w:val="28"/>
          <w:szCs w:val="28"/>
          <w14:textFill>
            <w14:solidFill>
              <w14:schemeClr w14:val="tx1"/>
            </w14:solidFill>
          </w14:textFill>
        </w:rPr>
        <w:t>深度参与“一带一路”建设</w:t>
      </w:r>
      <w:bookmarkEnd w:id="183"/>
      <w:bookmarkEnd w:id="184"/>
      <w:r>
        <w:rPr>
          <w:rFonts w:hint="eastAsia" w:ascii="Times New Roman" w:hAnsi="Times New Roman" w:eastAsia="仿宋_GB2312" w:cs="Times New Roman"/>
          <w:b/>
          <w:bCs/>
          <w:color w:val="000000" w:themeColor="text1"/>
          <w:sz w:val="28"/>
          <w:szCs w:val="28"/>
          <w14:textFill>
            <w14:solidFill>
              <w14:schemeClr w14:val="tx1"/>
            </w14:solidFill>
          </w14:textFill>
        </w:rPr>
        <w:t>。</w:t>
      </w:r>
      <w:r>
        <w:rPr>
          <w:rFonts w:hint="eastAsia" w:ascii="仿宋_GB2312" w:hAnsi="仿宋" w:eastAsia="仿宋_GB2312" w:cs="宋体"/>
          <w:color w:val="000000" w:themeColor="text1"/>
          <w:kern w:val="0"/>
          <w:sz w:val="28"/>
          <w:szCs w:val="28"/>
          <w14:textFill>
            <w14:solidFill>
              <w14:schemeClr w14:val="tx1"/>
            </w14:solidFill>
          </w14:textFill>
        </w:rPr>
        <w:t>依托冀蒙俄、冀新欧等国际大通道，借力邢台市直通</w:t>
      </w:r>
      <w:r>
        <w:rPr>
          <w:rFonts w:ascii="仿宋_GB2312" w:hAnsi="仿宋" w:eastAsia="仿宋_GB2312" w:cs="宋体"/>
          <w:color w:val="000000" w:themeColor="text1"/>
          <w:kern w:val="0"/>
          <w:sz w:val="28"/>
          <w:szCs w:val="28"/>
          <w14:textFill>
            <w14:solidFill>
              <w14:schemeClr w14:val="tx1"/>
            </w14:solidFill>
          </w14:textFill>
        </w:rPr>
        <w:t>中亚国际班列作用</w:t>
      </w:r>
      <w:r>
        <w:rPr>
          <w:rFonts w:hint="eastAsia" w:ascii="仿宋_GB2312" w:hAnsi="仿宋" w:eastAsia="仿宋_GB2312" w:cs="宋体"/>
          <w:color w:val="000000" w:themeColor="text1"/>
          <w:kern w:val="0"/>
          <w:sz w:val="28"/>
          <w:szCs w:val="28"/>
          <w14:textFill>
            <w14:solidFill>
              <w14:schemeClr w14:val="tx1"/>
            </w14:solidFill>
          </w14:textFill>
        </w:rPr>
        <w:t>，</w:t>
      </w:r>
      <w:r>
        <w:rPr>
          <w:rFonts w:ascii="仿宋_GB2312" w:hAnsi="仿宋" w:eastAsia="仿宋_GB2312" w:cs="宋体"/>
          <w:color w:val="000000" w:themeColor="text1"/>
          <w:kern w:val="0"/>
          <w:sz w:val="28"/>
          <w:szCs w:val="28"/>
          <w14:textFill>
            <w14:solidFill>
              <w14:schemeClr w14:val="tx1"/>
            </w14:solidFill>
          </w14:textFill>
        </w:rPr>
        <w:t>加强与</w:t>
      </w:r>
      <w:r>
        <w:rPr>
          <w:rFonts w:hint="eastAsia" w:ascii="仿宋_GB2312" w:hAnsi="仿宋" w:eastAsia="仿宋_GB2312" w:cs="宋体"/>
          <w:color w:val="000000" w:themeColor="text1"/>
          <w:kern w:val="0"/>
          <w:sz w:val="28"/>
          <w:szCs w:val="28"/>
          <w14:textFill>
            <w14:solidFill>
              <w14:schemeClr w14:val="tx1"/>
            </w14:solidFill>
          </w14:textFill>
        </w:rPr>
        <w:t>“一带一路”沿线国家和地区的贸易合作。鼓励企业在“一带一路”沿线国家和地区合作建设资源基地、生产基地、综合服务基地、研发设计基地，构筑互利共赢的产业链供应链合作体系。对接邢台市</w:t>
      </w:r>
      <w:r>
        <w:rPr>
          <w:rFonts w:ascii="仿宋_GB2312" w:hAnsi="仿宋" w:eastAsia="仿宋_GB2312" w:cs="宋体"/>
          <w:color w:val="000000" w:themeColor="text1"/>
          <w:kern w:val="0"/>
          <w:sz w:val="28"/>
          <w:szCs w:val="28"/>
          <w14:textFill>
            <w14:solidFill>
              <w14:schemeClr w14:val="tx1"/>
            </w14:solidFill>
          </w14:textFill>
        </w:rPr>
        <w:t>与乌兹别克斯坦合建的“河北工业园”</w:t>
      </w:r>
      <w:r>
        <w:rPr>
          <w:rFonts w:hint="eastAsia" w:ascii="仿宋_GB2312" w:hAnsi="仿宋" w:eastAsia="仿宋_GB2312" w:cs="宋体"/>
          <w:color w:val="000000" w:themeColor="text1"/>
          <w:kern w:val="0"/>
          <w:sz w:val="28"/>
          <w:szCs w:val="28"/>
          <w14:textFill>
            <w14:solidFill>
              <w14:schemeClr w14:val="tx1"/>
            </w14:solidFill>
          </w14:textFill>
        </w:rPr>
        <w:t>，整合优势资源，引导企业优势互补、抱团出海，实现多赢互利。</w:t>
      </w:r>
      <w:bookmarkStart w:id="185" w:name="_Toc25629"/>
      <w:bookmarkStart w:id="186" w:name="_Toc29101"/>
      <w:r>
        <w:rPr>
          <w:rFonts w:hint="eastAsia" w:ascii="Times New Roman" w:hAnsi="Times New Roman" w:eastAsia="仿宋_GB2312" w:cs="Times New Roman"/>
          <w:b/>
          <w:bCs/>
          <w:color w:val="000000" w:themeColor="text1"/>
          <w:sz w:val="28"/>
          <w:szCs w:val="28"/>
          <w14:textFill>
            <w14:solidFill>
              <w14:schemeClr w14:val="tx1"/>
            </w14:solidFill>
          </w14:textFill>
        </w:rPr>
        <w:t>全力提升外资外贸水平</w:t>
      </w:r>
      <w:bookmarkEnd w:id="185"/>
      <w:bookmarkEnd w:id="186"/>
      <w:r>
        <w:rPr>
          <w:rFonts w:hint="eastAsia" w:ascii="Times New Roman" w:hAnsi="Times New Roman" w:eastAsia="仿宋_GB2312" w:cs="Times New Roman"/>
          <w:b/>
          <w:bCs/>
          <w:color w:val="000000" w:themeColor="text1"/>
          <w:sz w:val="28"/>
          <w:szCs w:val="28"/>
          <w14:textFill>
            <w14:solidFill>
              <w14:schemeClr w14:val="tx1"/>
            </w14:solidFill>
          </w14:textFill>
        </w:rPr>
        <w:t>。</w:t>
      </w:r>
      <w:r>
        <w:rPr>
          <w:rFonts w:hint="eastAsia" w:ascii="仿宋_GB2312" w:hAnsi="仿宋" w:eastAsia="仿宋_GB2312" w:cs="宋体"/>
          <w:color w:val="000000" w:themeColor="text1"/>
          <w:kern w:val="0"/>
          <w:sz w:val="28"/>
          <w:szCs w:val="28"/>
          <w14:textFill>
            <w14:solidFill>
              <w14:schemeClr w14:val="tx1"/>
            </w14:solidFill>
          </w14:textFill>
        </w:rPr>
        <w:t>抢抓全球产业链供应链重构的机遇，推进利用外资供给侧结构性改革，鼓励通过外资参股、外资并购、境外上市等方式，积极引进具有国际水平的高端装备、新材料等企业项目，开创利用外资新局面。</w:t>
      </w:r>
      <w:r>
        <w:rPr>
          <w:rFonts w:ascii="仿宋_GB2312" w:hAnsi="仿宋" w:eastAsia="仿宋_GB2312" w:cs="宋体"/>
          <w:color w:val="000000" w:themeColor="text1"/>
          <w:kern w:val="0"/>
          <w:sz w:val="28"/>
          <w:szCs w:val="28"/>
          <w14:textFill>
            <w14:solidFill>
              <w14:schemeClr w14:val="tx1"/>
            </w14:solidFill>
          </w14:textFill>
        </w:rPr>
        <w:t>围绕开拓多元国际市场</w:t>
      </w:r>
      <w:r>
        <w:rPr>
          <w:rFonts w:hint="eastAsia" w:ascii="仿宋_GB2312" w:hAnsi="仿宋" w:eastAsia="仿宋_GB2312" w:cs="宋体"/>
          <w:color w:val="000000" w:themeColor="text1"/>
          <w:kern w:val="0"/>
          <w:sz w:val="28"/>
          <w:szCs w:val="28"/>
          <w14:textFill>
            <w14:solidFill>
              <w14:schemeClr w14:val="tx1"/>
            </w14:solidFill>
          </w14:textFill>
        </w:rPr>
        <w:t>，</w:t>
      </w:r>
      <w:r>
        <w:rPr>
          <w:rFonts w:ascii="仿宋_GB2312" w:hAnsi="仿宋" w:eastAsia="仿宋_GB2312" w:cs="宋体"/>
          <w:color w:val="000000" w:themeColor="text1"/>
          <w:kern w:val="0"/>
          <w:sz w:val="28"/>
          <w:szCs w:val="28"/>
          <w14:textFill>
            <w14:solidFill>
              <w14:schemeClr w14:val="tx1"/>
            </w14:solidFill>
          </w14:textFill>
        </w:rPr>
        <w:t>着力培强</w:t>
      </w:r>
      <w:r>
        <w:rPr>
          <w:rFonts w:hint="eastAsia" w:ascii="仿宋_GB2312" w:hAnsi="仿宋" w:eastAsia="仿宋_GB2312" w:cs="宋体"/>
          <w:color w:val="000000" w:themeColor="text1"/>
          <w:kern w:val="0"/>
          <w:sz w:val="28"/>
          <w:szCs w:val="28"/>
          <w14:textFill>
            <w14:solidFill>
              <w14:schemeClr w14:val="tx1"/>
            </w14:solidFill>
          </w14:textFill>
        </w:rPr>
        <w:t>外贸主体，打造一批出口优势领军企业，培育一批出口“专精特新”中小企业。积极参加“河北品牌全球行”等活动，支持企业建立</w:t>
      </w:r>
      <w:r>
        <w:rPr>
          <w:rFonts w:ascii="仿宋_GB2312" w:hAnsi="仿宋" w:eastAsia="仿宋_GB2312" w:cs="宋体"/>
          <w:color w:val="000000" w:themeColor="text1"/>
          <w:kern w:val="0"/>
          <w:sz w:val="28"/>
          <w:szCs w:val="28"/>
          <w14:textFill>
            <w14:solidFill>
              <w14:schemeClr w14:val="tx1"/>
            </w14:solidFill>
          </w14:textFill>
        </w:rPr>
        <w:t>海外采购中心</w:t>
      </w:r>
      <w:r>
        <w:rPr>
          <w:rFonts w:hint="eastAsia" w:ascii="仿宋_GB2312" w:hAnsi="仿宋" w:eastAsia="仿宋_GB2312" w:cs="宋体"/>
          <w:color w:val="000000" w:themeColor="text1"/>
          <w:kern w:val="0"/>
          <w:sz w:val="28"/>
          <w:szCs w:val="28"/>
          <w14:textFill>
            <w14:solidFill>
              <w14:schemeClr w14:val="tx1"/>
            </w14:solidFill>
          </w14:textFill>
        </w:rPr>
        <w:t>、境外展示交易中心</w:t>
      </w:r>
      <w:r>
        <w:rPr>
          <w:rFonts w:ascii="仿宋_GB2312" w:hAnsi="仿宋" w:eastAsia="仿宋_GB2312" w:cs="宋体"/>
          <w:color w:val="000000" w:themeColor="text1"/>
          <w:kern w:val="0"/>
          <w:sz w:val="28"/>
          <w:szCs w:val="28"/>
          <w14:textFill>
            <w14:solidFill>
              <w14:schemeClr w14:val="tx1"/>
            </w14:solidFill>
          </w14:textFill>
        </w:rPr>
        <w:t>等</w:t>
      </w:r>
      <w:r>
        <w:rPr>
          <w:rFonts w:hint="eastAsia" w:ascii="仿宋_GB2312" w:hAnsi="仿宋" w:eastAsia="仿宋_GB2312" w:cs="宋体"/>
          <w:color w:val="000000" w:themeColor="text1"/>
          <w:kern w:val="0"/>
          <w:sz w:val="28"/>
          <w:szCs w:val="28"/>
          <w14:textFill>
            <w14:solidFill>
              <w14:schemeClr w14:val="tx1"/>
            </w14:solidFill>
          </w14:textFill>
        </w:rPr>
        <w:t>，精心组织企业参加中国国际进口博览会，支持企业利用进口贴息、免（减）税政策，扩大先进设备和关键零部件等进口。力争到2025年，全县</w:t>
      </w:r>
      <w:r>
        <w:rPr>
          <w:rFonts w:ascii="仿宋_GB2312" w:hAnsi="仿宋" w:eastAsia="仿宋_GB2312" w:cs="宋体"/>
          <w:color w:val="000000" w:themeColor="text1"/>
          <w:kern w:val="0"/>
          <w:sz w:val="28"/>
          <w:szCs w:val="28"/>
          <w14:textFill>
            <w14:solidFill>
              <w14:schemeClr w14:val="tx1"/>
            </w14:solidFill>
          </w14:textFill>
        </w:rPr>
        <w:t>实际利用外资</w:t>
      </w:r>
      <w:r>
        <w:rPr>
          <w:rFonts w:hint="eastAsia" w:ascii="仿宋_GB2312" w:hAnsi="仿宋" w:eastAsia="仿宋_GB2312" w:cs="宋体"/>
          <w:color w:val="000000" w:themeColor="text1"/>
          <w:kern w:val="0"/>
          <w:sz w:val="28"/>
          <w:szCs w:val="28"/>
          <w14:textFill>
            <w14:solidFill>
              <w14:schemeClr w14:val="tx1"/>
            </w14:solidFill>
          </w14:textFill>
        </w:rPr>
        <w:t>7000万</w:t>
      </w:r>
      <w:r>
        <w:rPr>
          <w:rFonts w:ascii="仿宋_GB2312" w:hAnsi="仿宋" w:eastAsia="仿宋_GB2312" w:cs="宋体"/>
          <w:color w:val="000000" w:themeColor="text1"/>
          <w:kern w:val="0"/>
          <w:sz w:val="28"/>
          <w:szCs w:val="28"/>
          <w14:textFill>
            <w14:solidFill>
              <w14:schemeClr w14:val="tx1"/>
            </w14:solidFill>
          </w14:textFill>
        </w:rPr>
        <w:t>美元</w:t>
      </w:r>
      <w:r>
        <w:rPr>
          <w:rFonts w:hint="eastAsia" w:ascii="仿宋_GB2312" w:hAnsi="仿宋" w:eastAsia="仿宋_GB2312" w:cs="宋体"/>
          <w:color w:val="000000" w:themeColor="text1"/>
          <w:kern w:val="0"/>
          <w:sz w:val="28"/>
          <w:szCs w:val="28"/>
          <w14:textFill>
            <w14:solidFill>
              <w14:schemeClr w14:val="tx1"/>
            </w14:solidFill>
          </w14:textFill>
        </w:rPr>
        <w:t>，进出口总额达到</w:t>
      </w:r>
      <w:r>
        <w:rPr>
          <w:rFonts w:ascii="仿宋_GB2312" w:hAnsi="仿宋" w:eastAsia="仿宋_GB2312" w:cs="宋体"/>
          <w:color w:val="000000" w:themeColor="text1"/>
          <w:kern w:val="0"/>
          <w:sz w:val="28"/>
          <w:szCs w:val="28"/>
          <w14:textFill>
            <w14:solidFill>
              <w14:schemeClr w14:val="tx1"/>
            </w14:solidFill>
          </w14:textFill>
        </w:rPr>
        <w:t>5</w:t>
      </w:r>
      <w:r>
        <w:rPr>
          <w:rFonts w:hint="eastAsia" w:ascii="仿宋_GB2312" w:hAnsi="仿宋" w:eastAsia="仿宋_GB2312" w:cs="宋体"/>
          <w:color w:val="000000" w:themeColor="text1"/>
          <w:kern w:val="0"/>
          <w:sz w:val="28"/>
          <w:szCs w:val="28"/>
          <w14:textFill>
            <w14:solidFill>
              <w14:schemeClr w14:val="tx1"/>
            </w14:solidFill>
          </w14:textFill>
        </w:rPr>
        <w:t>亿美元以上。</w:t>
      </w:r>
      <w:bookmarkStart w:id="187" w:name="_Toc3101"/>
    </w:p>
    <w:p w14:paraId="6E683F67">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adjustRightInd w:val="0"/>
        <w:snapToGrid w:val="0"/>
        <w:spacing w:line="560" w:lineRule="exact"/>
        <w:ind w:firstLine="560" w:firstLineChars="200"/>
        <w:textAlignment w:val="auto"/>
        <w:rPr>
          <w:rFonts w:ascii="楷体_GB2312" w:hAnsi="楷体_GB2312" w:eastAsia="楷体_GB2312" w:cs="楷体_GB2312"/>
          <w:b w:val="0"/>
          <w:bCs/>
          <w:color w:val="000000" w:themeColor="text1"/>
          <w:kern w:val="0"/>
          <w:sz w:val="28"/>
          <w:szCs w:val="28"/>
          <w14:textFill>
            <w14:solidFill>
              <w14:schemeClr w14:val="tx1"/>
            </w14:solidFill>
          </w14:textFill>
        </w:rPr>
      </w:pPr>
      <w:r>
        <w:rPr>
          <w:rFonts w:hint="eastAsia" w:ascii="楷体_GB2312" w:hAnsi="楷体_GB2312" w:eastAsia="楷体_GB2312" w:cs="楷体_GB2312"/>
          <w:b w:val="0"/>
          <w:bCs/>
          <w:color w:val="000000" w:themeColor="text1"/>
          <w:kern w:val="0"/>
          <w:sz w:val="28"/>
          <w:szCs w:val="28"/>
          <w14:textFill>
            <w14:solidFill>
              <w14:schemeClr w14:val="tx1"/>
            </w14:solidFill>
          </w14:textFill>
        </w:rPr>
        <w:t>（五）着力加强产业载体建设</w:t>
      </w:r>
      <w:bookmarkEnd w:id="187"/>
    </w:p>
    <w:p w14:paraId="366BE1D2">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adjustRightInd w:val="0"/>
        <w:snapToGrid w:val="0"/>
        <w:spacing w:line="560" w:lineRule="exact"/>
        <w:ind w:firstLine="560" w:firstLineChars="200"/>
        <w:textAlignment w:val="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坚持把经济开发区作为清河的“特区”来打造，推动项目、资金、技术、人才等要素加速向开发区聚集，“十四五”期间，开发区实现跨入千亿级开发区行列，争创为国家级开发区。</w:t>
      </w:r>
    </w:p>
    <w:p w14:paraId="09482CDF">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adjustRightInd w:val="0"/>
        <w:snapToGrid w:val="0"/>
        <w:spacing w:line="560" w:lineRule="exact"/>
        <w:ind w:firstLine="562" w:firstLineChars="200"/>
        <w:textAlignment w:val="auto"/>
        <w:rPr>
          <w:rFonts w:ascii="仿宋_GB2312" w:hAnsi="仿宋_GB2312" w:eastAsia="仿宋_GB2312" w:cs="仿宋_GB2312"/>
          <w:color w:val="000000" w:themeColor="text1"/>
          <w:kern w:val="0"/>
          <w:sz w:val="28"/>
          <w:szCs w:val="28"/>
          <w:lang w:bidi="ar"/>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持续完善基础设施。</w:t>
      </w:r>
      <w:r>
        <w:rPr>
          <w:rFonts w:hint="eastAsia" w:ascii="仿宋_GB2312" w:hAnsi="仿宋_GB2312" w:eastAsia="仿宋_GB2312" w:cs="仿宋_GB2312"/>
          <w:color w:val="000000" w:themeColor="text1"/>
          <w:sz w:val="28"/>
          <w:szCs w:val="28"/>
          <w:lang w:eastAsia="zh-CN"/>
          <w14:textFill>
            <w14:solidFill>
              <w14:schemeClr w14:val="tx1"/>
            </w14:solidFill>
          </w14:textFill>
        </w:rPr>
        <w:t>进一步完善</w:t>
      </w:r>
      <w:r>
        <w:rPr>
          <w:rFonts w:hint="eastAsia" w:ascii="仿宋_GB2312" w:hAnsi="仿宋_GB2312" w:eastAsia="仿宋_GB2312" w:cs="仿宋_GB2312"/>
          <w:color w:val="000000" w:themeColor="text1"/>
          <w:sz w:val="28"/>
          <w:szCs w:val="28"/>
          <w14:textFill>
            <w14:solidFill>
              <w14:schemeClr w14:val="tx1"/>
            </w14:solidFill>
          </w14:textFill>
        </w:rPr>
        <w:t>路、电、水、气、讯等基础设施，提升园区承载力。着力构建“五横十纵”的主干路系统结构；扩建城南地表水厂、城南污水</w:t>
      </w:r>
      <w:r>
        <w:rPr>
          <w:rFonts w:hint="eastAsia" w:ascii="仿宋_GB2312" w:hAnsi="仿宋_GB2312" w:eastAsia="仿宋_GB2312" w:cs="仿宋_GB2312"/>
          <w:color w:val="000000" w:themeColor="text1"/>
          <w:kern w:val="0"/>
          <w:sz w:val="28"/>
          <w:szCs w:val="28"/>
          <w:lang w:bidi="ar"/>
          <w14:textFill>
            <w14:solidFill>
              <w14:schemeClr w14:val="tx1"/>
            </w14:solidFill>
          </w14:textFill>
        </w:rPr>
        <w:t>处理厂等供排水工程设施，规划实施新建开发区110千伏变电站、扩建园区供热站等</w:t>
      </w:r>
      <w:r>
        <w:rPr>
          <w:rFonts w:hint="eastAsia" w:ascii="仿宋_GB2312" w:hAnsi="仿宋_GB2312" w:eastAsia="仿宋_GB2312" w:cs="仿宋_GB2312"/>
          <w:color w:val="000000" w:themeColor="text1"/>
          <w:sz w:val="28"/>
          <w:szCs w:val="28"/>
          <w14:textFill>
            <w14:solidFill>
              <w14:schemeClr w14:val="tx1"/>
            </w14:solidFill>
          </w14:textFill>
        </w:rPr>
        <w:t>能源工程项目。</w:t>
      </w:r>
    </w:p>
    <w:p w14:paraId="4A4DFDF1">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adjustRightInd w:val="0"/>
        <w:snapToGrid w:val="0"/>
        <w:spacing w:line="560" w:lineRule="exact"/>
        <w:ind w:firstLine="562" w:firstLineChars="200"/>
        <w:textAlignment w:val="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持续优化营商环境。</w:t>
      </w:r>
      <w:r>
        <w:rPr>
          <w:rFonts w:hint="eastAsia" w:ascii="仿宋_GB2312" w:hAnsi="仿宋_GB2312" w:eastAsia="仿宋_GB2312" w:cs="仿宋_GB2312"/>
          <w:color w:val="000000" w:themeColor="text1"/>
          <w:sz w:val="28"/>
          <w:szCs w:val="28"/>
          <w14:textFill>
            <w14:solidFill>
              <w14:schemeClr w14:val="tx1"/>
            </w14:solidFill>
          </w14:textFill>
        </w:rPr>
        <w:t>做大做强开发区平台公司，提高资本运作能力，注入发展新活力；推动一批与人才队伍配套的商业居住、文化教育、医疗健康等生活配套的公共服务设施建设；继续深化“三简三全”服务，创新智能审批模式，实现申请不跑腿、审批不见面，打造成全国一流的营商环境示范区。</w:t>
      </w:r>
    </w:p>
    <w:p w14:paraId="3CE7CF5F">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spacing w:line="560" w:lineRule="exact"/>
        <w:ind w:firstLine="562" w:firstLineChars="200"/>
        <w:textAlignment w:val="auto"/>
        <w:rPr>
          <w:rFonts w:ascii="仿宋_GB2312" w:hAnsi="仿宋_GB2312" w:eastAsia="仿宋_GB2312" w:cs="仿宋_GB2312"/>
          <w:color w:val="000000" w:themeColor="text1"/>
          <w:sz w:val="28"/>
          <w:szCs w:val="28"/>
          <w:lang w:bidi="ar"/>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做好园中园平台建设。</w:t>
      </w:r>
      <w:r>
        <w:rPr>
          <w:rFonts w:hint="eastAsia" w:ascii="仿宋_GB2312" w:hAnsi="仿宋_GB2312" w:eastAsia="仿宋_GB2312" w:cs="仿宋_GB2312"/>
          <w:color w:val="000000" w:themeColor="text1"/>
          <w:sz w:val="28"/>
          <w:szCs w:val="28"/>
          <w14:textFill>
            <w14:solidFill>
              <w14:schemeClr w14:val="tx1"/>
            </w14:solidFill>
          </w14:textFill>
        </w:rPr>
        <w:t>充分发挥开发区平台公司的市场作用，按照高标准规划、高门槛入驻的原则，集中打造小微企业聚集发展平台（中小企业孵化园）、羊绒产业高端平台（清河国际羊绒服饰柔性快反基地）、汽配产业高端平台（温州汽配产业园）和中科院创新孵化基地等四个项目承载平台</w:t>
      </w:r>
      <w:bookmarkStart w:id="188" w:name="_Toc15327"/>
      <w:r>
        <w:rPr>
          <w:rFonts w:hint="eastAsia" w:ascii="仿宋_GB2312" w:hAnsi="仿宋_GB2312" w:eastAsia="仿宋_GB2312" w:cs="仿宋_GB2312"/>
          <w:color w:val="000000" w:themeColor="text1"/>
          <w:sz w:val="28"/>
          <w:szCs w:val="28"/>
          <w14:textFill>
            <w14:solidFill>
              <w14:schemeClr w14:val="tx1"/>
            </w14:solidFill>
          </w14:textFill>
        </w:rPr>
        <w:t>。</w:t>
      </w:r>
      <w:bookmarkStart w:id="189" w:name="_Toc13472"/>
      <w:r>
        <w:rPr>
          <w:rFonts w:hint="eastAsia" w:ascii="仿宋_GB2312" w:hAnsi="仿宋_GB2312" w:eastAsia="仿宋_GB2312" w:cs="仿宋_GB2312"/>
          <w:color w:val="000000" w:themeColor="text1"/>
          <w:sz w:val="28"/>
          <w:szCs w:val="28"/>
          <w14:textFill>
            <w14:solidFill>
              <w14:schemeClr w14:val="tx1"/>
            </w14:solidFill>
          </w14:textFill>
        </w:rPr>
        <w:t>谋划建设合金电商孵化园，</w:t>
      </w:r>
      <w:r>
        <w:rPr>
          <w:rFonts w:hint="eastAsia" w:ascii="仿宋_GB2312" w:hAnsi="仿宋_GB2312" w:eastAsia="仿宋_GB2312" w:cs="仿宋_GB2312"/>
          <w:color w:val="000000" w:themeColor="text1"/>
          <w:sz w:val="28"/>
          <w:szCs w:val="28"/>
          <w:lang w:bidi="ar"/>
          <w14:textFill>
            <w14:solidFill>
              <w14:schemeClr w14:val="tx1"/>
            </w14:solidFill>
          </w14:textFill>
        </w:rPr>
        <w:t>吸纳合金企业入基地集聚发展，完善形成加工</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lang w:bidi="ar"/>
          <w14:textFill>
            <w14:solidFill>
              <w14:schemeClr w14:val="tx1"/>
            </w14:solidFill>
          </w14:textFill>
        </w:rPr>
        <w:t>销售</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lang w:bidi="ar"/>
          <w14:textFill>
            <w14:solidFill>
              <w14:schemeClr w14:val="tx1"/>
            </w14:solidFill>
          </w14:textFill>
        </w:rPr>
        <w:t>仓储</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lang w:bidi="ar"/>
          <w14:textFill>
            <w14:solidFill>
              <w14:schemeClr w14:val="tx1"/>
            </w14:solidFill>
          </w14:textFill>
        </w:rPr>
        <w:t>配送整套产业链条，促进合金产业可持续发展。</w:t>
      </w:r>
    </w:p>
    <w:p w14:paraId="3D4F2336">
      <w:pPr>
        <w:keepNext w:val="0"/>
        <w:keepLines w:val="0"/>
        <w:pageBreakBefore w:val="0"/>
        <w:widowControl w:val="0"/>
        <w:numPr>
          <w:ilvl w:val="0"/>
          <w:numId w:val="3"/>
        </w:numPr>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spacing w:line="560" w:lineRule="exact"/>
        <w:ind w:firstLine="560" w:firstLineChars="200"/>
        <w:textAlignment w:val="auto"/>
        <w:outlineLvl w:val="1"/>
        <w:rPr>
          <w:rStyle w:val="32"/>
          <w:rFonts w:ascii="黑体" w:hAnsi="黑体" w:eastAsia="黑体"/>
          <w:b w:val="0"/>
          <w:bCs w:val="0"/>
          <w:color w:val="000000" w:themeColor="text1"/>
          <w:sz w:val="28"/>
          <w:szCs w:val="28"/>
          <w14:textFill>
            <w14:solidFill>
              <w14:schemeClr w14:val="tx1"/>
            </w14:solidFill>
          </w14:textFill>
        </w:rPr>
      </w:pPr>
      <w:bookmarkStart w:id="190" w:name="_Toc23574"/>
      <w:r>
        <w:rPr>
          <w:rStyle w:val="32"/>
          <w:rFonts w:hint="eastAsia" w:ascii="黑体" w:hAnsi="黑体" w:eastAsia="黑体"/>
          <w:b w:val="0"/>
          <w:bCs w:val="0"/>
          <w:color w:val="000000" w:themeColor="text1"/>
          <w:sz w:val="28"/>
          <w:szCs w:val="28"/>
          <w14:textFill>
            <w14:solidFill>
              <w14:schemeClr w14:val="tx1"/>
            </w14:solidFill>
          </w14:textFill>
        </w:rPr>
        <w:t>统筹城乡融合，拓展高质量赶超发展新空间</w:t>
      </w:r>
      <w:bookmarkEnd w:id="188"/>
      <w:bookmarkEnd w:id="189"/>
      <w:bookmarkEnd w:id="190"/>
    </w:p>
    <w:p w14:paraId="736DB1E7">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spacing w:line="560" w:lineRule="exact"/>
        <w:ind w:firstLine="560" w:firstLineChars="200"/>
        <w:textAlignment w:val="auto"/>
        <w:rPr>
          <w:rFonts w:ascii="仿宋_GB2312" w:hAnsi="仿宋_GB2312" w:eastAsia="仿宋_GB2312" w:cs="仿宋_GB2312"/>
          <w:color w:val="000000" w:themeColor="text1"/>
          <w:kern w:val="0"/>
          <w:sz w:val="28"/>
          <w:szCs w:val="28"/>
          <w:lang w:bidi="ar"/>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按照“一城三区”“一核三带”战略</w:t>
      </w:r>
      <w:r>
        <w:rPr>
          <w:rFonts w:hint="eastAsia" w:ascii="仿宋_GB2312" w:hAnsi="仿宋_GB2312" w:eastAsia="仿宋_GB2312" w:cs="仿宋_GB2312"/>
          <w:color w:val="000000" w:themeColor="text1"/>
          <w:sz w:val="28"/>
          <w:szCs w:val="28"/>
          <w:lang w:eastAsia="zh-CN"/>
          <w14:textFill>
            <w14:solidFill>
              <w14:schemeClr w14:val="tx1"/>
            </w14:solidFill>
          </w14:textFill>
        </w:rPr>
        <w:t>布局</w:t>
      </w:r>
      <w:r>
        <w:rPr>
          <w:rFonts w:hint="eastAsia" w:ascii="仿宋_GB2312" w:hAnsi="仿宋_GB2312" w:eastAsia="仿宋_GB2312" w:cs="仿宋_GB2312"/>
          <w:color w:val="000000" w:themeColor="text1"/>
          <w:sz w:val="28"/>
          <w:szCs w:val="28"/>
          <w14:textFill>
            <w14:solidFill>
              <w14:schemeClr w14:val="tx1"/>
            </w14:solidFill>
          </w14:textFill>
        </w:rPr>
        <w:t>，立足清河现有产业基础、资源优势和未来产业发展需求，结合功能定位，推动产城融合，促进城乡联动发展</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按照“小县域大县城”思路，科学确定城市发展定位和县域功能</w:t>
      </w:r>
      <w:r>
        <w:rPr>
          <w:rFonts w:hint="eastAsia" w:ascii="仿宋_GB2312" w:hAnsi="仿宋_GB2312" w:eastAsia="仿宋_GB2312" w:cs="仿宋_GB2312"/>
          <w:color w:val="000000" w:themeColor="text1"/>
          <w:kern w:val="0"/>
          <w:sz w:val="28"/>
          <w:szCs w:val="28"/>
          <w:lang w:bidi="ar"/>
          <w14:textFill>
            <w14:solidFill>
              <w14:schemeClr w14:val="tx1"/>
            </w14:solidFill>
          </w14:textFill>
        </w:rPr>
        <w:t>布局，提升城乡建设水平，加快撤县设市步伐，构建高质量赶超发展支撑体系。</w:t>
      </w:r>
      <w:bookmarkStart w:id="191" w:name="_Toc953"/>
    </w:p>
    <w:p w14:paraId="301EC346">
      <w:pPr>
        <w:keepNext w:val="0"/>
        <w:keepLines w:val="0"/>
        <w:pageBreakBefore w:val="0"/>
        <w:widowControl w:val="0"/>
        <w:numPr>
          <w:ilvl w:val="0"/>
          <w:numId w:val="4"/>
        </w:numPr>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spacing w:line="560" w:lineRule="exact"/>
        <w:textAlignment w:val="auto"/>
        <w:outlineLvl w:val="2"/>
        <w:rPr>
          <w:rFonts w:ascii="楷体_GB2312" w:hAnsi="楷体_GB2312" w:eastAsia="楷体_GB2312" w:cs="楷体_GB2312"/>
          <w:b w:val="0"/>
          <w:bCs w:val="0"/>
          <w:color w:val="000000" w:themeColor="text1"/>
          <w:sz w:val="28"/>
          <w:szCs w:val="28"/>
          <w14:textFill>
            <w14:solidFill>
              <w14:schemeClr w14:val="tx1"/>
            </w14:solidFill>
          </w14:textFill>
        </w:rPr>
      </w:pPr>
      <w:bookmarkStart w:id="192" w:name="_Toc15968"/>
      <w:r>
        <w:rPr>
          <w:rFonts w:hint="eastAsia" w:ascii="楷体_GB2312" w:hAnsi="楷体_GB2312" w:eastAsia="楷体_GB2312" w:cs="楷体_GB2312"/>
          <w:b w:val="0"/>
          <w:bCs w:val="0"/>
          <w:color w:val="000000" w:themeColor="text1"/>
          <w:sz w:val="28"/>
          <w:szCs w:val="28"/>
          <w14:textFill>
            <w14:solidFill>
              <w14:schemeClr w14:val="tx1"/>
            </w14:solidFill>
          </w14:textFill>
        </w:rPr>
        <w:t>完善国土空间开发保护体系</w:t>
      </w:r>
      <w:bookmarkEnd w:id="191"/>
      <w:bookmarkEnd w:id="192"/>
    </w:p>
    <w:p w14:paraId="06F736DC">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adjustRightInd w:val="0"/>
        <w:snapToGrid w:val="0"/>
        <w:spacing w:line="560" w:lineRule="exact"/>
        <w:ind w:firstLine="560" w:firstLineChars="200"/>
        <w:textAlignment w:val="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全面落实省市国土空间规划，推动总体规划与国土空间规划、专项规划的有机衔接。立足资源禀赋和环境承载能力，强化全域、全要素的配置与安排，科学划定生态保护红线、永久基本农田、城镇开发边界三条控制线，逐步形成城市化地区、农产品主产区、生态功能区三大空间格局，优化重大基础设施、重大生产力和公共资源布局。支持城市化地区高效聚集经济和人口、保护基本农田和生态空间，支持农产品主产区增强农业生产能力，支持生态功能区把发展重点放到保护生态环境、提供生态产品上，支持生态功能区的人口逐步有序转移。</w:t>
      </w:r>
    </w:p>
    <w:p w14:paraId="1436DCDE">
      <w:pPr>
        <w:keepNext w:val="0"/>
        <w:keepLines w:val="0"/>
        <w:pageBreakBefore w:val="0"/>
        <w:widowControl w:val="0"/>
        <w:numPr>
          <w:ilvl w:val="0"/>
          <w:numId w:val="4"/>
        </w:numPr>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spacing w:line="560" w:lineRule="exact"/>
        <w:textAlignment w:val="auto"/>
        <w:outlineLvl w:val="2"/>
        <w:rPr>
          <w:rFonts w:ascii="楷体_GB2312" w:hAnsi="楷体_GB2312" w:eastAsia="楷体_GB2312" w:cs="楷体_GB2312"/>
          <w:b w:val="0"/>
          <w:bCs w:val="0"/>
          <w:color w:val="000000" w:themeColor="text1"/>
          <w:sz w:val="28"/>
          <w:szCs w:val="28"/>
          <w14:textFill>
            <w14:solidFill>
              <w14:schemeClr w14:val="tx1"/>
            </w14:solidFill>
          </w14:textFill>
        </w:rPr>
      </w:pPr>
      <w:bookmarkStart w:id="193" w:name="_Toc14225"/>
      <w:r>
        <w:rPr>
          <w:rFonts w:hint="eastAsia" w:ascii="楷体_GB2312" w:hAnsi="楷体_GB2312" w:eastAsia="楷体_GB2312" w:cs="楷体_GB2312"/>
          <w:b w:val="0"/>
          <w:bCs w:val="0"/>
          <w:color w:val="000000" w:themeColor="text1"/>
          <w:sz w:val="28"/>
          <w:szCs w:val="28"/>
          <w14:textFill>
            <w14:solidFill>
              <w14:schemeClr w14:val="tx1"/>
            </w14:solidFill>
          </w14:textFill>
        </w:rPr>
        <w:t>开展中心城市成长行动</w:t>
      </w:r>
      <w:bookmarkEnd w:id="193"/>
    </w:p>
    <w:p w14:paraId="01DE0DC2">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adjustRightInd w:val="0"/>
        <w:snapToGrid w:val="0"/>
        <w:spacing w:line="560" w:lineRule="exact"/>
        <w:ind w:firstLine="562" w:firstLineChars="200"/>
        <w:textAlignment w:val="auto"/>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1.做大做强中心城区</w:t>
      </w:r>
    </w:p>
    <w:p w14:paraId="41A0C3B7">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adjustRightInd w:val="0"/>
        <w:snapToGrid w:val="0"/>
        <w:spacing w:line="560" w:lineRule="exact"/>
        <w:ind w:firstLine="560" w:firstLineChars="200"/>
        <w:textAlignment w:val="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按照“东扩、西融、南拓、北通”的“四向发展”思路，突出规划引领，进一步拉大城市框架。</w:t>
      </w:r>
      <w:r>
        <w:rPr>
          <w:rFonts w:hint="eastAsia" w:ascii="仿宋_GB2312" w:hAnsi="仿宋_GB2312" w:eastAsia="仿宋_GB2312" w:cs="仿宋_GB2312"/>
          <w:b/>
          <w:color w:val="000000" w:themeColor="text1"/>
          <w:sz w:val="28"/>
          <w:szCs w:val="28"/>
          <w14:textFill>
            <w14:solidFill>
              <w14:schemeClr w14:val="tx1"/>
            </w14:solidFill>
          </w14:textFill>
        </w:rPr>
        <w:t>东扩：</w:t>
      </w:r>
      <w:r>
        <w:rPr>
          <w:rFonts w:hint="eastAsia" w:ascii="仿宋_GB2312" w:hAnsi="仿宋_GB2312" w:eastAsia="仿宋_GB2312" w:cs="仿宋_GB2312"/>
          <w:bCs/>
          <w:color w:val="000000" w:themeColor="text1"/>
          <w:sz w:val="28"/>
          <w:szCs w:val="28"/>
          <w14:textFill>
            <w14:solidFill>
              <w14:schemeClr w14:val="tx1"/>
            </w14:solidFill>
          </w14:textFill>
        </w:rPr>
        <w:t>启动县城东部区域的发展规划，建设长江街、绒谷大街、长城大街跨京九铁路东延，实现与新308国道实现联通；</w:t>
      </w:r>
      <w:r>
        <w:rPr>
          <w:rFonts w:hint="eastAsia" w:ascii="仿宋_GB2312" w:hAnsi="仿宋_GB2312" w:eastAsia="仿宋_GB2312" w:cs="仿宋_GB2312"/>
          <w:b/>
          <w:color w:val="000000" w:themeColor="text1"/>
          <w:sz w:val="28"/>
          <w:szCs w:val="28"/>
          <w14:textFill>
            <w14:solidFill>
              <w14:schemeClr w14:val="tx1"/>
            </w14:solidFill>
          </w14:textFill>
        </w:rPr>
        <w:t>西融：</w:t>
      </w:r>
      <w:r>
        <w:rPr>
          <w:rFonts w:hint="eastAsia" w:ascii="仿宋_GB2312" w:hAnsi="仿宋_GB2312" w:eastAsia="仿宋_GB2312" w:cs="仿宋_GB2312"/>
          <w:color w:val="000000" w:themeColor="text1"/>
          <w:sz w:val="28"/>
          <w:szCs w:val="28"/>
          <w14:textFill>
            <w14:solidFill>
              <w14:schemeClr w14:val="tx1"/>
            </w14:solidFill>
          </w14:textFill>
        </w:rPr>
        <w:t>建成长江街和赣江街跨清水河桥，使青阳新区与主城区融为一体</w:t>
      </w:r>
      <w:r>
        <w:rPr>
          <w:rFonts w:hint="eastAsia" w:ascii="仿宋_GB2312" w:hAnsi="仿宋_GB2312" w:eastAsia="仿宋_GB2312" w:cs="仿宋_GB2312"/>
          <w:bCs/>
          <w:color w:val="000000" w:themeColor="text1"/>
          <w:sz w:val="28"/>
          <w:szCs w:val="28"/>
          <w14:textFill>
            <w14:solidFill>
              <w14:schemeClr w14:val="tx1"/>
            </w14:solidFill>
          </w14:textFill>
        </w:rPr>
        <w:t>；</w:t>
      </w:r>
      <w:r>
        <w:rPr>
          <w:rFonts w:hint="eastAsia" w:ascii="仿宋_GB2312" w:hAnsi="仿宋_GB2312" w:eastAsia="仿宋_GB2312" w:cs="仿宋_GB2312"/>
          <w:b/>
          <w:color w:val="000000" w:themeColor="text1"/>
          <w:sz w:val="28"/>
          <w:szCs w:val="28"/>
          <w14:textFill>
            <w14:solidFill>
              <w14:schemeClr w14:val="tx1"/>
            </w14:solidFill>
          </w14:textFill>
        </w:rPr>
        <w:t>南拓：</w:t>
      </w:r>
      <w:r>
        <w:rPr>
          <w:rFonts w:hint="eastAsia" w:ascii="仿宋_GB2312" w:hAnsi="仿宋_GB2312" w:eastAsia="仿宋_GB2312" w:cs="仿宋_GB2312"/>
          <w:bCs/>
          <w:color w:val="000000" w:themeColor="text1"/>
          <w:sz w:val="28"/>
          <w:szCs w:val="28"/>
          <w14:textFill>
            <w14:solidFill>
              <w14:schemeClr w14:val="tx1"/>
            </w14:solidFill>
          </w14:textFill>
        </w:rPr>
        <w:t>重点加快建设城市南环；</w:t>
      </w:r>
      <w:r>
        <w:rPr>
          <w:rFonts w:hint="eastAsia" w:ascii="仿宋_GB2312" w:hAnsi="仿宋_GB2312" w:eastAsia="仿宋_GB2312" w:cs="仿宋_GB2312"/>
          <w:b/>
          <w:color w:val="000000" w:themeColor="text1"/>
          <w:sz w:val="28"/>
          <w:szCs w:val="28"/>
          <w14:textFill>
            <w14:solidFill>
              <w14:schemeClr w14:val="tx1"/>
            </w14:solidFill>
          </w14:textFill>
        </w:rPr>
        <w:t>北通：</w:t>
      </w:r>
      <w:r>
        <w:rPr>
          <w:rFonts w:hint="eastAsia" w:ascii="仿宋_GB2312" w:hAnsi="仿宋_GB2312" w:eastAsia="仿宋_GB2312" w:cs="仿宋_GB2312"/>
          <w:bCs/>
          <w:color w:val="000000" w:themeColor="text1"/>
          <w:sz w:val="28"/>
          <w:szCs w:val="28"/>
          <w14:textFill>
            <w14:solidFill>
              <w14:schemeClr w14:val="tx1"/>
            </w14:solidFill>
          </w14:textFill>
        </w:rPr>
        <w:t>重点打通华山路等断头路，北延太行路直通G340。强化产业支撑，突出产城融合发</w:t>
      </w:r>
      <w:r>
        <w:rPr>
          <w:rFonts w:hint="eastAsia" w:ascii="仿宋_GB2312" w:hAnsi="仿宋_GB2312" w:eastAsia="仿宋_GB2312" w:cs="仿宋_GB2312"/>
          <w:color w:val="000000" w:themeColor="text1"/>
          <w:sz w:val="28"/>
          <w:szCs w:val="28"/>
          <w14:textFill>
            <w14:solidFill>
              <w14:schemeClr w14:val="tx1"/>
            </w14:solidFill>
          </w14:textFill>
        </w:rPr>
        <w:t>展，吸引人才、人口向中心城区集中，不断壮大中心城区人口规模。到“十四五”末，中心城区建成区面积达</w:t>
      </w:r>
      <w:r>
        <w:rPr>
          <w:rFonts w:ascii="仿宋_GB2312" w:hAnsi="仿宋_GB2312" w:eastAsia="仿宋_GB2312" w:cs="仿宋_GB2312"/>
          <w:color w:val="000000" w:themeColor="text1"/>
          <w:sz w:val="28"/>
          <w:szCs w:val="28"/>
          <w14:textFill>
            <w14:solidFill>
              <w14:schemeClr w14:val="tx1"/>
            </w14:solidFill>
          </w14:textFill>
        </w:rPr>
        <w:t>44</w:t>
      </w:r>
      <w:r>
        <w:rPr>
          <w:rFonts w:hint="eastAsia" w:ascii="仿宋_GB2312" w:hAnsi="仿宋_GB2312" w:eastAsia="仿宋_GB2312" w:cs="仿宋_GB2312"/>
          <w:color w:val="000000" w:themeColor="text1"/>
          <w:sz w:val="28"/>
          <w:szCs w:val="28"/>
          <w14:textFill>
            <w14:solidFill>
              <w14:schemeClr w14:val="tx1"/>
            </w14:solidFill>
          </w14:textFill>
        </w:rPr>
        <w:t>平方公里以上（其中主城区2</w:t>
      </w:r>
      <w:r>
        <w:rPr>
          <w:rFonts w:ascii="仿宋_GB2312" w:hAnsi="仿宋_GB2312" w:eastAsia="仿宋_GB2312" w:cs="仿宋_GB2312"/>
          <w:color w:val="000000" w:themeColor="text1"/>
          <w:sz w:val="28"/>
          <w:szCs w:val="28"/>
          <w14:textFill>
            <w14:solidFill>
              <w14:schemeClr w14:val="tx1"/>
            </w14:solidFill>
          </w14:textFill>
        </w:rPr>
        <w:t>5</w:t>
      </w:r>
      <w:r>
        <w:rPr>
          <w:rFonts w:hint="eastAsia" w:ascii="仿宋_GB2312" w:hAnsi="仿宋_GB2312" w:eastAsia="仿宋_GB2312" w:cs="仿宋_GB2312"/>
          <w:color w:val="000000" w:themeColor="text1"/>
          <w:sz w:val="28"/>
          <w:szCs w:val="28"/>
          <w14:textFill>
            <w14:solidFill>
              <w14:schemeClr w14:val="tx1"/>
            </w14:solidFill>
          </w14:textFill>
        </w:rPr>
        <w:t>平方公里），常住人口达</w:t>
      </w:r>
      <w:r>
        <w:rPr>
          <w:rFonts w:ascii="仿宋_GB2312" w:hAnsi="仿宋_GB2312" w:eastAsia="仿宋_GB2312" w:cs="仿宋_GB2312"/>
          <w:color w:val="000000" w:themeColor="text1"/>
          <w:sz w:val="28"/>
          <w:szCs w:val="28"/>
          <w14:textFill>
            <w14:solidFill>
              <w14:schemeClr w14:val="tx1"/>
            </w14:solidFill>
          </w14:textFill>
        </w:rPr>
        <w:t>24</w:t>
      </w:r>
      <w:r>
        <w:rPr>
          <w:rFonts w:hint="eastAsia" w:ascii="仿宋_GB2312" w:hAnsi="仿宋_GB2312" w:eastAsia="仿宋_GB2312" w:cs="仿宋_GB2312"/>
          <w:color w:val="000000" w:themeColor="text1"/>
          <w:sz w:val="28"/>
          <w:szCs w:val="28"/>
          <w14:textFill>
            <w14:solidFill>
              <w14:schemeClr w14:val="tx1"/>
            </w14:solidFill>
          </w14:textFill>
        </w:rPr>
        <w:t>万人以上。</w:t>
      </w:r>
    </w:p>
    <w:p w14:paraId="067461A8">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adjustRightInd w:val="0"/>
        <w:snapToGrid w:val="0"/>
        <w:spacing w:line="560" w:lineRule="exact"/>
        <w:ind w:firstLine="562" w:firstLineChars="200"/>
        <w:textAlignment w:val="auto"/>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2.优化城市空间布局</w:t>
      </w:r>
    </w:p>
    <w:p w14:paraId="13D68C67">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adjustRightInd w:val="0"/>
        <w:snapToGrid w:val="0"/>
        <w:spacing w:line="560" w:lineRule="exact"/>
        <w:ind w:firstLine="560" w:firstLineChars="200"/>
        <w:textAlignment w:val="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坚持“以产兴城、以城促产、产城互动”理念，构建“一核、两轴、四区”的中心城区空间格局。</w:t>
      </w:r>
      <w:r>
        <w:rPr>
          <w:rFonts w:hint="eastAsia" w:ascii="仿宋_GB2312" w:hAnsi="仿宋_GB2312" w:eastAsia="仿宋_GB2312" w:cs="仿宋_GB2312"/>
          <w:b/>
          <w:bCs/>
          <w:color w:val="000000" w:themeColor="text1"/>
          <w:sz w:val="28"/>
          <w:szCs w:val="28"/>
          <w14:textFill>
            <w14:solidFill>
              <w14:schemeClr w14:val="tx1"/>
            </w14:solidFill>
          </w14:textFill>
        </w:rPr>
        <w:t>“一核”</w:t>
      </w:r>
      <w:r>
        <w:rPr>
          <w:rFonts w:hint="eastAsia" w:ascii="仿宋_GB2312" w:hAnsi="仿宋_GB2312" w:eastAsia="仿宋_GB2312" w:cs="仿宋_GB2312"/>
          <w:color w:val="000000" w:themeColor="text1"/>
          <w:sz w:val="28"/>
          <w:szCs w:val="28"/>
          <w14:textFill>
            <w14:solidFill>
              <w14:schemeClr w14:val="tx1"/>
            </w14:solidFill>
          </w14:textFill>
        </w:rPr>
        <w:t>为城市综合服务核心，位于中心城区中部，规划建设城市级文体、娱乐、商业服务等公共服务设施，依托丰收渠滨水空间，打造高品质城市客厅，成为城市形象展示核心。</w:t>
      </w:r>
      <w:r>
        <w:rPr>
          <w:rFonts w:hint="eastAsia" w:ascii="仿宋_GB2312" w:hAnsi="仿宋_GB2312" w:eastAsia="仿宋_GB2312" w:cs="仿宋_GB2312"/>
          <w:b/>
          <w:bCs/>
          <w:color w:val="000000" w:themeColor="text1"/>
          <w:sz w:val="28"/>
          <w:szCs w:val="28"/>
          <w14:textFill>
            <w14:solidFill>
              <w14:schemeClr w14:val="tx1"/>
            </w14:solidFill>
          </w14:textFill>
        </w:rPr>
        <w:t>“两轴”</w:t>
      </w:r>
      <w:r>
        <w:rPr>
          <w:rFonts w:hint="eastAsia" w:ascii="仿宋_GB2312" w:hAnsi="仿宋_GB2312" w:eastAsia="仿宋_GB2312" w:cs="仿宋_GB2312"/>
          <w:color w:val="000000" w:themeColor="text1"/>
          <w:sz w:val="28"/>
          <w:szCs w:val="28"/>
          <w14:textFill>
            <w14:solidFill>
              <w14:schemeClr w14:val="tx1"/>
            </w14:solidFill>
          </w14:textFill>
        </w:rPr>
        <w:t>即将清水河生态和挥公大道产业带定位为“十字”发展轴。</w:t>
      </w:r>
      <w:r>
        <w:rPr>
          <w:rFonts w:hint="eastAsia" w:ascii="仿宋_GB2312" w:hAnsi="仿宋_GB2312" w:eastAsia="仿宋_GB2312" w:cs="仿宋_GB2312"/>
          <w:b/>
          <w:bCs/>
          <w:color w:val="000000" w:themeColor="text1"/>
          <w:sz w:val="28"/>
          <w:szCs w:val="28"/>
          <w14:textFill>
            <w14:solidFill>
              <w14:schemeClr w14:val="tx1"/>
            </w14:solidFill>
          </w14:textFill>
        </w:rPr>
        <w:t>“四区”</w:t>
      </w:r>
      <w:r>
        <w:rPr>
          <w:rFonts w:hint="eastAsia" w:ascii="仿宋_GB2312" w:hAnsi="仿宋_GB2312" w:eastAsia="仿宋_GB2312" w:cs="仿宋_GB2312"/>
          <w:color w:val="000000" w:themeColor="text1"/>
          <w:sz w:val="28"/>
          <w:szCs w:val="28"/>
          <w14:textFill>
            <w14:solidFill>
              <w14:schemeClr w14:val="tx1"/>
            </w14:solidFill>
          </w14:textFill>
        </w:rPr>
        <w:t>即：将主城区定位为宜居生活服务支撑区，将高铁片区定位为商务会展、生态文旅门户区，将羊绒时尚小镇定位为创意设计和现代展销功能区，将开发区定位为科技创新、成果转化、智能制造承载区和万亩千亿大平台。</w:t>
      </w:r>
    </w:p>
    <w:p w14:paraId="2D54C44F">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adjustRightInd w:val="0"/>
        <w:snapToGrid w:val="0"/>
        <w:spacing w:line="560" w:lineRule="exact"/>
        <w:ind w:firstLine="562" w:firstLineChars="200"/>
        <w:textAlignment w:val="auto"/>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3.抓好基础设施建设</w:t>
      </w:r>
    </w:p>
    <w:p w14:paraId="7DF72E63">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adjustRightInd w:val="0"/>
        <w:snapToGrid w:val="0"/>
        <w:spacing w:line="560" w:lineRule="exact"/>
        <w:ind w:firstLine="560" w:firstLineChars="200"/>
        <w:textAlignment w:val="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实施清河客运交通综合枢纽项目，打造便捷、高效、现代的清河西高铁站基础设施配套工程，完善城市道路网体系，建成以主干路为骨干，次干路为集散、支路为地方道路的健康可持续城市道路网体系。强化历史文化保护、塑造城市风貌，加强老旧小区改造和社区建设，继续推进雨污分流改造，建设海绵城市、韧性城市，优化城市功能，提升城市品质。</w:t>
      </w:r>
    </w:p>
    <w:p w14:paraId="10FEC3E6">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adjustRightInd w:val="0"/>
        <w:snapToGrid w:val="0"/>
        <w:spacing w:line="560" w:lineRule="exact"/>
        <w:ind w:firstLine="560" w:firstLineChars="200"/>
        <w:textAlignment w:val="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对标迎宾大道、城市地标、城市CBD、城市阳台、城市绿道、文化街区、步行街、未来社区等“十大城市标配”，打造一批群众认可、经得起检验的精品工程，不断完善城市核心区功能配套。</w:t>
      </w:r>
    </w:p>
    <w:p w14:paraId="1E835F12">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adjustRightInd w:val="0"/>
        <w:snapToGrid w:val="0"/>
        <w:spacing w:line="560" w:lineRule="exact"/>
        <w:ind w:firstLine="562" w:firstLineChars="200"/>
        <w:textAlignment w:val="auto"/>
        <w:rPr>
          <w:rFonts w:ascii="仿宋_GB2312" w:hAnsi="仿宋_GB2312" w:eastAsia="仿宋_GB2312" w:cs="仿宋_GB2312"/>
          <w:b/>
          <w:color w:val="000000" w:themeColor="text1"/>
          <w:kern w:val="0"/>
          <w:sz w:val="28"/>
          <w:szCs w:val="28"/>
          <w:lang w:bidi="ar"/>
          <w14:textFill>
            <w14:solidFill>
              <w14:schemeClr w14:val="tx1"/>
            </w14:solidFill>
          </w14:textFill>
        </w:rPr>
      </w:pPr>
      <w:r>
        <w:rPr>
          <w:rFonts w:hint="eastAsia" w:ascii="仿宋_GB2312" w:hAnsi="仿宋_GB2312" w:eastAsia="仿宋_GB2312" w:cs="仿宋_GB2312"/>
          <w:b/>
          <w:color w:val="000000" w:themeColor="text1"/>
          <w:kern w:val="0"/>
          <w:sz w:val="28"/>
          <w:szCs w:val="28"/>
          <w:lang w:bidi="ar"/>
          <w14:textFill>
            <w14:solidFill>
              <w14:schemeClr w14:val="tx1"/>
            </w14:solidFill>
          </w14:textFill>
        </w:rPr>
        <w:t>4.完善公共服务体系</w:t>
      </w:r>
    </w:p>
    <w:p w14:paraId="62CED38D">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adjustRightInd w:val="0"/>
        <w:snapToGrid w:val="0"/>
        <w:spacing w:line="560" w:lineRule="exact"/>
        <w:ind w:firstLine="560" w:firstLineChars="200"/>
        <w:textAlignment w:val="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规划构建“县级--社区级”两级公共服务设施系。以建设宜居城市、和谐社区为目标，按照“生活圈居住区”的规划理念，优化布局居住用地，构建9个十五分钟生活圈、若干个十分钟生活圈基本公共服务设施网络。到2025年，实现卫生、教育、文化、体育等社区公共服务设施十五分钟步行可达覆盖率50%以上。</w:t>
      </w:r>
    </w:p>
    <w:p w14:paraId="7FD3516F">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adjustRightInd w:val="0"/>
        <w:snapToGrid w:val="0"/>
        <w:spacing w:line="560" w:lineRule="exact"/>
        <w:ind w:firstLine="562" w:firstLineChars="200"/>
        <w:textAlignment w:val="auto"/>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5.强化生态城市建设</w:t>
      </w:r>
    </w:p>
    <w:p w14:paraId="4AC39EC6">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adjustRightInd w:val="0"/>
        <w:snapToGrid w:val="0"/>
        <w:spacing w:line="560" w:lineRule="exact"/>
        <w:ind w:firstLine="560" w:firstLineChars="200"/>
        <w:textAlignment w:val="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深化国家卫生城市创建成果，扎实推进卫生城、森林城创建，确保早日进入全国文明县城提名行列。依托花海水城项目建设，重点实施挥公大道两侧、高速出入口、渤海路、武松公园绿化美化提升工程，加大对城区围而未建、裸露空地绿化改造力度，拆围透绿、拆违植绿；依托四干九支等河渠谋划建设环城穿城水系，构建水城共融、人文和谐、蓝绿交织、花海相映的城市特色，争创国家园林城市。</w:t>
      </w:r>
    </w:p>
    <w:p w14:paraId="5898A509">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adjustRightInd w:val="0"/>
        <w:snapToGrid w:val="0"/>
        <w:spacing w:line="560" w:lineRule="exact"/>
        <w:ind w:firstLine="562" w:firstLineChars="200"/>
        <w:textAlignment w:val="auto"/>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6.深化智慧城市建设</w:t>
      </w:r>
    </w:p>
    <w:p w14:paraId="1373C1F5">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adjustRightInd w:val="0"/>
        <w:snapToGrid w:val="0"/>
        <w:spacing w:line="560" w:lineRule="exact"/>
        <w:ind w:firstLine="560" w:firstLineChars="200"/>
        <w:textAlignment w:val="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充分发挥数字化驱动引领作用，加强数字经济基础设施建设，全力推进智慧城市三期项目建设，健全数字化城市监管体系，重点实施时空大数据平台、智慧交通、智慧社区系统、智慧环保大数据系统、慧眼守土智慧森防系统等子系统建设，加快建设云上城市、时空清河，带动城市治理精确高效、城市服务即时便捷、城市运行安全可靠、城市经济智能绿色、城市生活安全舒适，争创省级智慧城市示范县。</w:t>
      </w:r>
    </w:p>
    <w:p w14:paraId="57EDFB20">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adjustRightInd w:val="0"/>
        <w:snapToGrid w:val="0"/>
        <w:spacing w:line="560" w:lineRule="exact"/>
        <w:ind w:firstLine="562" w:firstLineChars="200"/>
        <w:textAlignment w:val="auto"/>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7.激发城市经济活力</w:t>
      </w:r>
    </w:p>
    <w:p w14:paraId="10F25793">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adjustRightInd w:val="0"/>
        <w:snapToGrid w:val="0"/>
        <w:spacing w:line="560" w:lineRule="exact"/>
        <w:ind w:firstLine="560" w:firstLineChars="200"/>
        <w:textAlignment w:val="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大力引进培育城市经济综合体、楼宇经济、电商经济、创意经济等城市经济新业态，加快引进一批纳税超500万元以上楼宇经济项目、3000平方米以上众创空间，积极打造特色风情街区，聚力繁荣“夜间经济”。</w:t>
      </w:r>
    </w:p>
    <w:p w14:paraId="2EE1B78C">
      <w:pPr>
        <w:keepNext w:val="0"/>
        <w:keepLines w:val="0"/>
        <w:pageBreakBefore w:val="0"/>
        <w:widowControl w:val="0"/>
        <w:numPr>
          <w:ilvl w:val="0"/>
          <w:numId w:val="4"/>
        </w:numPr>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spacing w:line="560" w:lineRule="exact"/>
        <w:textAlignment w:val="auto"/>
        <w:outlineLvl w:val="2"/>
        <w:rPr>
          <w:rFonts w:ascii="楷体_GB2312" w:hAnsi="楷体_GB2312" w:eastAsia="楷体_GB2312" w:cs="楷体_GB2312"/>
          <w:b w:val="0"/>
          <w:bCs w:val="0"/>
          <w:color w:val="000000" w:themeColor="text1"/>
          <w:sz w:val="28"/>
          <w:szCs w:val="28"/>
          <w14:textFill>
            <w14:solidFill>
              <w14:schemeClr w14:val="tx1"/>
            </w14:solidFill>
          </w14:textFill>
        </w:rPr>
      </w:pPr>
      <w:bookmarkStart w:id="194" w:name="_Toc26564"/>
      <w:r>
        <w:rPr>
          <w:rFonts w:hint="eastAsia" w:ascii="楷体_GB2312" w:hAnsi="楷体_GB2312" w:eastAsia="楷体_GB2312" w:cs="楷体_GB2312"/>
          <w:b w:val="0"/>
          <w:bCs w:val="0"/>
          <w:color w:val="000000" w:themeColor="text1"/>
          <w:sz w:val="28"/>
          <w:szCs w:val="28"/>
          <w14:textFill>
            <w14:solidFill>
              <w14:schemeClr w14:val="tx1"/>
            </w14:solidFill>
          </w14:textFill>
        </w:rPr>
        <w:t>推进以人为核心的新型城镇化</w:t>
      </w:r>
      <w:bookmarkEnd w:id="194"/>
    </w:p>
    <w:p w14:paraId="5E00D862">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adjustRightInd w:val="0"/>
        <w:snapToGrid w:val="0"/>
        <w:spacing w:line="560" w:lineRule="exact"/>
        <w:ind w:firstLine="562" w:firstLineChars="200"/>
        <w:textAlignment w:val="auto"/>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1.建设宜居城镇</w:t>
      </w:r>
    </w:p>
    <w:p w14:paraId="582CFA17">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adjustRightInd w:val="0"/>
        <w:snapToGrid w:val="0"/>
        <w:spacing w:line="560" w:lineRule="exact"/>
        <w:ind w:firstLine="562" w:firstLineChars="200"/>
        <w:textAlignment w:val="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引导要素向城镇聚集。</w:t>
      </w:r>
      <w:r>
        <w:rPr>
          <w:rFonts w:hint="eastAsia" w:ascii="仿宋_GB2312" w:hAnsi="仿宋_GB2312" w:eastAsia="仿宋_GB2312" w:cs="仿宋_GB2312"/>
          <w:color w:val="000000" w:themeColor="text1"/>
          <w:sz w:val="28"/>
          <w:szCs w:val="28"/>
          <w14:textFill>
            <w14:solidFill>
              <w14:schemeClr w14:val="tx1"/>
            </w14:solidFill>
          </w14:textFill>
        </w:rPr>
        <w:t>积极调整完善谢炉、油坊等5个镇域总体规划，加大镇区开发建设力度，引导农村人口向建制镇聚集，加快城镇化进程。</w:t>
      </w:r>
      <w:r>
        <w:rPr>
          <w:rFonts w:hint="eastAsia" w:ascii="仿宋_GB2312" w:hAnsi="仿宋_GB2312" w:eastAsia="仿宋_GB2312" w:cs="仿宋_GB2312"/>
          <w:b/>
          <w:bCs/>
          <w:color w:val="000000" w:themeColor="text1"/>
          <w:sz w:val="28"/>
          <w:szCs w:val="28"/>
          <w14:textFill>
            <w14:solidFill>
              <w14:schemeClr w14:val="tx1"/>
            </w14:solidFill>
          </w14:textFill>
        </w:rPr>
        <w:t>实施城市更新行动。</w:t>
      </w:r>
      <w:r>
        <w:rPr>
          <w:rFonts w:hint="eastAsia" w:ascii="仿宋_GB2312" w:hAnsi="仿宋_GB2312" w:eastAsia="仿宋_GB2312" w:cs="仿宋_GB2312"/>
          <w:color w:val="000000" w:themeColor="text1"/>
          <w:sz w:val="28"/>
          <w:szCs w:val="28"/>
          <w14:textFill>
            <w14:solidFill>
              <w14:schemeClr w14:val="tx1"/>
            </w14:solidFill>
          </w14:textFill>
        </w:rPr>
        <w:t>加大依法拆违拆迁力度，完善城镇基础设施和公共服务，提升镇驻地建设管理水平，促进县城和各镇区协调发展，改善居住条件。</w:t>
      </w:r>
      <w:r>
        <w:rPr>
          <w:rFonts w:hint="eastAsia" w:ascii="仿宋_GB2312" w:hAnsi="仿宋_GB2312" w:eastAsia="仿宋_GB2312" w:cs="仿宋_GB2312"/>
          <w:b/>
          <w:bCs/>
          <w:color w:val="000000" w:themeColor="text1"/>
          <w:sz w:val="28"/>
          <w:szCs w:val="28"/>
          <w14:textFill>
            <w14:solidFill>
              <w14:schemeClr w14:val="tx1"/>
            </w14:solidFill>
          </w14:textFill>
        </w:rPr>
        <w:t>提升公共服务水平</w:t>
      </w:r>
      <w:r>
        <w:rPr>
          <w:rFonts w:hint="eastAsia" w:ascii="仿宋_GB2312" w:hAnsi="仿宋_GB2312" w:eastAsia="仿宋_GB2312" w:cs="仿宋_GB2312"/>
          <w:color w:val="000000" w:themeColor="text1"/>
          <w:sz w:val="28"/>
          <w:szCs w:val="28"/>
          <w14:textFill>
            <w14:solidFill>
              <w14:schemeClr w14:val="tx1"/>
            </w14:solidFill>
          </w14:textFill>
        </w:rPr>
        <w:t>。依托镇区构建30分钟乡村高等级生活圈，基本实现镇域全覆盖，结合乡镇产业特色，科学合理配套基本公共服务设施，满足居民公共服务需求。</w:t>
      </w:r>
    </w:p>
    <w:p w14:paraId="6F975F75">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adjustRightInd w:val="0"/>
        <w:snapToGrid w:val="0"/>
        <w:spacing w:line="560" w:lineRule="exact"/>
        <w:ind w:firstLine="562" w:firstLineChars="200"/>
        <w:textAlignment w:val="auto"/>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2.培育特色小镇</w:t>
      </w:r>
    </w:p>
    <w:p w14:paraId="1B2351AC">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adjustRightInd w:val="0"/>
        <w:snapToGrid w:val="0"/>
        <w:spacing w:line="560" w:lineRule="exact"/>
        <w:ind w:firstLine="560" w:firstLineChars="200"/>
        <w:textAlignment w:val="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沿着“产城融合、聚集发展”理念，着力建好羊绒时尚小镇，培育连庄商贸特色小镇、油坊文旅特色小镇、坝营现代农业特色小镇，逐步建成1+3的特色小镇发展格局。</w:t>
      </w:r>
    </w:p>
    <w:p w14:paraId="09F8EB3B">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adjustRightInd w:val="0"/>
        <w:snapToGrid w:val="0"/>
        <w:spacing w:line="560" w:lineRule="exact"/>
        <w:ind w:firstLine="562" w:firstLineChars="200"/>
        <w:textAlignment w:val="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着力建设羊绒时尚小镇。</w:t>
      </w:r>
      <w:r>
        <w:rPr>
          <w:rFonts w:hint="eastAsia" w:ascii="仿宋_GB2312" w:hAnsi="仿宋_GB2312" w:eastAsia="仿宋_GB2312" w:cs="仿宋_GB2312"/>
          <w:color w:val="000000" w:themeColor="text1"/>
          <w:sz w:val="28"/>
          <w:szCs w:val="28"/>
          <w14:textFill>
            <w14:solidFill>
              <w14:schemeClr w14:val="tx1"/>
            </w14:solidFill>
          </w14:textFill>
        </w:rPr>
        <w:t>做好小镇功能分区和配套基础设施建设，对小镇功能分区进行科学规划，重点建设原创设计中心、直播供应链基地、智慧物流园、羊绒研究院、大学生实训基地等基础设施。完善提升羊绒大厦，建成集原创设计、流行趋势发布、品牌博览展销、个性化定制、跨境电商、网红直播等多业态于一体的商务楼宇，打造成为城市新地标、立起来的“开发区”和楼宇经济新标杆。争创“</w:t>
      </w:r>
      <w:r>
        <w:rPr>
          <w:rFonts w:ascii="仿宋_GB2312" w:hAnsi="仿宋_GB2312" w:eastAsia="仿宋_GB2312" w:cs="仿宋_GB2312"/>
          <w:color w:val="000000" w:themeColor="text1"/>
          <w:sz w:val="28"/>
          <w:szCs w:val="28"/>
          <w14:textFill>
            <w14:solidFill>
              <w14:schemeClr w14:val="tx1"/>
            </w14:solidFill>
          </w14:textFill>
        </w:rPr>
        <w:t>AAA</w:t>
      </w:r>
      <w:r>
        <w:rPr>
          <w:rFonts w:hint="eastAsia" w:ascii="仿宋_GB2312" w:hAnsi="仿宋_GB2312" w:eastAsia="仿宋_GB2312" w:cs="仿宋_GB2312"/>
          <w:color w:val="000000" w:themeColor="text1"/>
          <w:sz w:val="28"/>
          <w:szCs w:val="28"/>
          <w14:textFill>
            <w14:solidFill>
              <w14:schemeClr w14:val="tx1"/>
            </w14:solidFill>
          </w14:textFill>
        </w:rPr>
        <w:t>A”级景区，健全羊绒小镇功能配套，改造提升绒谷大街、绒都大街、羊绒主题广场，新建游客中心、产业链微工厂，优化品牌展销中心、创客咖啡等平台功能，把羊绒小镇打造成为产业升级的强引擎。</w:t>
      </w:r>
    </w:p>
    <w:p w14:paraId="0F9E18DF">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adjustRightInd w:val="0"/>
        <w:snapToGrid w:val="0"/>
        <w:spacing w:line="560" w:lineRule="exact"/>
        <w:ind w:firstLine="562" w:firstLineChars="200"/>
        <w:textAlignment w:val="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大力培育特色小镇。</w:t>
      </w:r>
      <w:r>
        <w:rPr>
          <w:rFonts w:hint="eastAsia" w:ascii="仿宋_GB2312" w:hAnsi="仿宋_GB2312" w:eastAsia="仿宋_GB2312" w:cs="仿宋_GB2312"/>
          <w:color w:val="000000" w:themeColor="text1"/>
          <w:sz w:val="28"/>
          <w:szCs w:val="28"/>
          <w14:textFill>
            <w14:solidFill>
              <w14:schemeClr w14:val="tx1"/>
            </w14:solidFill>
          </w14:textFill>
        </w:rPr>
        <w:t>立足连庄、油坊、坝营三个重点镇的自然禀赋，实现特色发展。连庄镇依托战略金属贸易，打造商贸特色小镇；油坊镇依托京杭大运河生态带，打造文旅特色小镇；坝营镇依托特色观光种植，打造现代农业特色小镇。进一步深化体制改革，赋予特色小镇更多事权、财权，探索市场化运营机制，引入第三方资本推动小镇基础设施、配套服务建设，最大限度优化要素配置、解放发展活力。</w:t>
      </w:r>
    </w:p>
    <w:p w14:paraId="0BE52A47">
      <w:pPr>
        <w:keepNext w:val="0"/>
        <w:keepLines w:val="0"/>
        <w:pageBreakBefore w:val="0"/>
        <w:widowControl w:val="0"/>
        <w:numPr>
          <w:ilvl w:val="0"/>
          <w:numId w:val="4"/>
        </w:numPr>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spacing w:line="560" w:lineRule="exact"/>
        <w:textAlignment w:val="auto"/>
        <w:outlineLvl w:val="2"/>
        <w:rPr>
          <w:rFonts w:ascii="楷体_GB2312" w:hAnsi="楷体_GB2312" w:eastAsia="楷体_GB2312" w:cs="楷体_GB2312"/>
          <w:b w:val="0"/>
          <w:bCs w:val="0"/>
          <w:color w:val="000000" w:themeColor="text1"/>
          <w:sz w:val="28"/>
          <w:szCs w:val="28"/>
          <w14:textFill>
            <w14:solidFill>
              <w14:schemeClr w14:val="tx1"/>
            </w14:solidFill>
          </w14:textFill>
        </w:rPr>
      </w:pPr>
      <w:bookmarkStart w:id="195" w:name="_Toc20491"/>
      <w:r>
        <w:rPr>
          <w:rFonts w:hint="eastAsia" w:ascii="楷体_GB2312" w:hAnsi="楷体_GB2312" w:eastAsia="楷体_GB2312" w:cs="楷体_GB2312"/>
          <w:b w:val="0"/>
          <w:bCs w:val="0"/>
          <w:color w:val="000000" w:themeColor="text1"/>
          <w:sz w:val="28"/>
          <w:szCs w:val="28"/>
          <w14:textFill>
            <w14:solidFill>
              <w14:schemeClr w14:val="tx1"/>
            </w14:solidFill>
          </w14:textFill>
        </w:rPr>
        <w:t>实施美丽乡村建设行动</w:t>
      </w:r>
      <w:bookmarkEnd w:id="195"/>
    </w:p>
    <w:p w14:paraId="30633B0D">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adjustRightInd w:val="0"/>
        <w:snapToGrid w:val="0"/>
        <w:spacing w:line="560" w:lineRule="exact"/>
        <w:ind w:firstLine="562" w:firstLineChars="200"/>
        <w:textAlignment w:val="auto"/>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1.统筹城乡布局</w:t>
      </w:r>
    </w:p>
    <w:p w14:paraId="1AAB5260">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adjustRightInd w:val="0"/>
        <w:snapToGrid w:val="0"/>
        <w:spacing w:line="560" w:lineRule="exact"/>
        <w:ind w:firstLine="560" w:firstLineChars="200"/>
        <w:textAlignment w:val="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结合城镇开发边界划定、产业空间布局，在保护传统村落和乡村风貌的基础上，以及村庄建设用地和人口规模，划分乡村类型，稳步推进合村并居、空心村治理工作，集聚提升一批，城郊融合一批，特色保护一批，搬迁撤并一批。</w:t>
      </w:r>
    </w:p>
    <w:p w14:paraId="53EDF4B4">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adjustRightInd w:val="0"/>
        <w:snapToGrid w:val="0"/>
        <w:spacing w:line="560" w:lineRule="exact"/>
        <w:ind w:firstLine="562" w:firstLineChars="200"/>
        <w:textAlignment w:val="auto"/>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2.深化农村改革</w:t>
      </w:r>
    </w:p>
    <w:p w14:paraId="1085719D">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adjustRightInd w:val="0"/>
        <w:snapToGrid w:val="0"/>
        <w:spacing w:line="560" w:lineRule="exact"/>
        <w:ind w:firstLine="560" w:firstLineChars="200"/>
        <w:textAlignment w:val="auto"/>
        <w:rPr>
          <w:rFonts w:ascii="仿宋_GB2312" w:hAnsi="仿宋_GB2312" w:eastAsia="仿宋_GB2312" w:cs="仿宋_GB2312"/>
          <w:color w:val="000000" w:themeColor="text1"/>
          <w:sz w:val="28"/>
          <w:szCs w:val="28"/>
          <w:lang w:bidi="ar"/>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推进农村土地制度改革，落实第二轮土地承包到期后延长30年政策；完善农村产权交易中心功能，进一步盘活农村资产，拓宽农民融资渠道。以农村集体产权制度改革为契机，发展壮大集体经济；组织开展农村集体经济组织法人登记，2021年基本完成农村集体经营性资产股份合作制改革。培育发展一批集体经济强村，到2025年，实现集体经济年收入超过10万元的村占比达到</w:t>
      </w:r>
      <w:r>
        <w:rPr>
          <w:rFonts w:ascii="仿宋_GB2312" w:hAnsi="仿宋_GB2312" w:eastAsia="仿宋_GB2312" w:cs="仿宋_GB2312"/>
          <w:color w:val="000000" w:themeColor="text1"/>
          <w:sz w:val="28"/>
          <w:szCs w:val="28"/>
          <w:lang w:bidi="ar"/>
          <w14:textFill>
            <w14:solidFill>
              <w14:schemeClr w14:val="tx1"/>
            </w14:solidFill>
          </w14:textFill>
        </w:rPr>
        <w:t>60</w:t>
      </w:r>
      <w:r>
        <w:rPr>
          <w:rFonts w:hint="eastAsia" w:ascii="仿宋_GB2312" w:hAnsi="仿宋_GB2312" w:eastAsia="仿宋_GB2312" w:cs="仿宋_GB2312"/>
          <w:color w:val="000000" w:themeColor="text1"/>
          <w:sz w:val="28"/>
          <w:szCs w:val="28"/>
          <w:lang w:bidi="ar"/>
          <w14:textFill>
            <w14:solidFill>
              <w14:schemeClr w14:val="tx1"/>
            </w14:solidFill>
          </w14:textFill>
        </w:rPr>
        <w:t>%以上。</w:t>
      </w:r>
    </w:p>
    <w:p w14:paraId="65BDE5DD">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adjustRightInd w:val="0"/>
        <w:snapToGrid w:val="0"/>
        <w:spacing w:line="560" w:lineRule="exact"/>
        <w:ind w:firstLine="562" w:firstLineChars="200"/>
        <w:textAlignment w:val="auto"/>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3.改善人居环境</w:t>
      </w:r>
    </w:p>
    <w:p w14:paraId="3665DDF0">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adjustRightInd w:val="0"/>
        <w:snapToGrid w:val="0"/>
        <w:spacing w:line="560" w:lineRule="exact"/>
        <w:ind w:firstLine="560" w:firstLineChars="200"/>
        <w:textAlignment w:val="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开展农村面貌改造提升行动，完善乡村水、电、路、气、通信和物流基础设施，大力创建“四好农村路”示范县。高标准开展农村人居环境整治三年行动，大力实施村庄绿化、亮化、美化工程，着力推进农村改厕、生活垃圾无害化处理和农村生活污水治理，提升城乡环卫一体化运营水平。推动形成绿色发展方式和生活方式，打造生态宜居、环境优美的新家园。“十四五”期间，确保我县农村人居环境整治工作继续走在全省前列。</w:t>
      </w:r>
    </w:p>
    <w:p w14:paraId="3BD91EDF">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adjustRightInd w:val="0"/>
        <w:snapToGrid w:val="0"/>
        <w:spacing w:line="560" w:lineRule="exact"/>
        <w:ind w:firstLine="562" w:firstLineChars="200"/>
        <w:textAlignment w:val="auto"/>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4.塑造文明乡风</w:t>
      </w:r>
    </w:p>
    <w:p w14:paraId="65C8CC47">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adjustRightInd w:val="0"/>
        <w:snapToGrid w:val="0"/>
        <w:spacing w:line="560" w:lineRule="exact"/>
        <w:ind w:firstLine="560" w:firstLineChars="200"/>
        <w:textAlignment w:val="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以社会主义核心价值观为引领，充分挖掘传统文化内涵，加强文化载体建设，丰富群众文化生活，打造古今融汇、慈孝敦睦、魅力多彩的乡村文明。</w:t>
      </w:r>
      <w:bookmarkStart w:id="196" w:name="_Toc7916"/>
      <w:r>
        <w:rPr>
          <w:rFonts w:hint="eastAsia" w:ascii="仿宋_GB2312" w:hAnsi="仿宋_GB2312" w:eastAsia="仿宋_GB2312" w:cs="仿宋_GB2312"/>
          <w:color w:val="000000" w:themeColor="text1"/>
          <w:sz w:val="28"/>
          <w:szCs w:val="28"/>
          <w14:textFill>
            <w14:solidFill>
              <w14:schemeClr w14:val="tx1"/>
            </w14:solidFill>
          </w14:textFill>
        </w:rPr>
        <w:t>高标准抓好新时代文明实践中心建设，以打造“全国试点的清河样板”为目标，建好县级新时代文明实践中心、镇级实践所、村级实践站三级阵地，搭建理论宣讲、教体服务、文化服务、科普服务、卫生健康等五大服务平台，实施时代之声、爱心扶贫、健康小屋等十大精品项目，孵化百支团队，组织千人管理，带动万人参与，让文明新风吹进千家万户，让文明服务滋润群众心田，让文明之花开遍清河大地。</w:t>
      </w:r>
      <w:bookmarkStart w:id="197" w:name="_Toc9029"/>
      <w:bookmarkStart w:id="198" w:name="_Toc24533"/>
    </w:p>
    <w:p w14:paraId="591CF4EB">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adjustRightInd w:val="0"/>
        <w:snapToGrid w:val="0"/>
        <w:spacing w:line="560" w:lineRule="exact"/>
        <w:ind w:firstLine="560" w:firstLineChars="200"/>
        <w:textAlignment w:val="auto"/>
        <w:outlineLvl w:val="1"/>
        <w:rPr>
          <w:rStyle w:val="32"/>
          <w:rFonts w:ascii="黑体" w:hAnsi="黑体" w:eastAsia="黑体"/>
          <w:b w:val="0"/>
          <w:bCs w:val="0"/>
          <w:color w:val="000000" w:themeColor="text1"/>
          <w:sz w:val="28"/>
          <w:szCs w:val="28"/>
          <w14:textFill>
            <w14:solidFill>
              <w14:schemeClr w14:val="tx1"/>
            </w14:solidFill>
          </w14:textFill>
        </w:rPr>
      </w:pPr>
      <w:bookmarkStart w:id="199" w:name="_Toc2054"/>
      <w:r>
        <w:rPr>
          <w:rStyle w:val="32"/>
          <w:rFonts w:hint="eastAsia" w:ascii="黑体" w:hAnsi="黑体" w:eastAsia="黑体"/>
          <w:b w:val="0"/>
          <w:bCs w:val="0"/>
          <w:color w:val="000000" w:themeColor="text1"/>
          <w:sz w:val="28"/>
          <w:szCs w:val="28"/>
          <w14:textFill>
            <w14:solidFill>
              <w14:schemeClr w14:val="tx1"/>
            </w14:solidFill>
          </w14:textFill>
        </w:rPr>
        <w:t>七、聚焦绿色生态，绘就高质量赶超发展靓丽色</w:t>
      </w:r>
      <w:bookmarkEnd w:id="196"/>
      <w:r>
        <w:rPr>
          <w:rStyle w:val="32"/>
          <w:rFonts w:hint="eastAsia" w:ascii="黑体" w:hAnsi="黑体" w:eastAsia="黑体"/>
          <w:b w:val="0"/>
          <w:bCs w:val="0"/>
          <w:color w:val="000000" w:themeColor="text1"/>
          <w:sz w:val="28"/>
          <w:szCs w:val="28"/>
          <w14:textFill>
            <w14:solidFill>
              <w14:schemeClr w14:val="tx1"/>
            </w14:solidFill>
          </w14:textFill>
        </w:rPr>
        <w:t>彩</w:t>
      </w:r>
      <w:bookmarkEnd w:id="197"/>
      <w:bookmarkEnd w:id="198"/>
      <w:bookmarkEnd w:id="199"/>
      <w:bookmarkStart w:id="200" w:name="_Toc9819"/>
    </w:p>
    <w:p w14:paraId="6431DE01">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adjustRightInd w:val="0"/>
        <w:snapToGrid w:val="0"/>
        <w:spacing w:line="560" w:lineRule="exact"/>
        <w:ind w:firstLine="560" w:firstLineChars="200"/>
        <w:textAlignment w:val="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牢固树立“绿水青山就是金山银山”理念，以改善生态环境质量为核心，补齐生态文明建设短板，推动生态环境持续改善，加快营造良好人居环境，努力建设生态清河。</w:t>
      </w:r>
    </w:p>
    <w:p w14:paraId="428C9D18">
      <w:pPr>
        <w:keepNext w:val="0"/>
        <w:keepLines w:val="0"/>
        <w:pageBreakBefore w:val="0"/>
        <w:widowControl w:val="0"/>
        <w:numPr>
          <w:ilvl w:val="0"/>
          <w:numId w:val="5"/>
        </w:numPr>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adjustRightInd w:val="0"/>
        <w:snapToGrid w:val="0"/>
        <w:spacing w:line="560" w:lineRule="exact"/>
        <w:textAlignment w:val="auto"/>
        <w:outlineLvl w:val="2"/>
        <w:rPr>
          <w:rFonts w:ascii="楷体_GB2312" w:hAnsi="楷体_GB2312" w:eastAsia="楷体_GB2312" w:cs="楷体_GB2312"/>
          <w:b w:val="0"/>
          <w:bCs/>
          <w:color w:val="000000" w:themeColor="text1"/>
          <w:sz w:val="28"/>
          <w:szCs w:val="28"/>
          <w14:textFill>
            <w14:solidFill>
              <w14:schemeClr w14:val="tx1"/>
            </w14:solidFill>
          </w14:textFill>
        </w:rPr>
      </w:pPr>
      <w:bookmarkStart w:id="201" w:name="_Toc15188"/>
      <w:r>
        <w:rPr>
          <w:rFonts w:hint="eastAsia" w:ascii="楷体_GB2312" w:hAnsi="楷体_GB2312" w:eastAsia="楷体_GB2312" w:cs="楷体_GB2312"/>
          <w:b w:val="0"/>
          <w:bCs/>
          <w:color w:val="000000" w:themeColor="text1"/>
          <w:sz w:val="28"/>
          <w:szCs w:val="28"/>
          <w14:textFill>
            <w14:solidFill>
              <w14:schemeClr w14:val="tx1"/>
            </w14:solidFill>
          </w14:textFill>
        </w:rPr>
        <w:t>打好环境污染防治攻坚战</w:t>
      </w:r>
      <w:bookmarkEnd w:id="201"/>
    </w:p>
    <w:p w14:paraId="7398DE21">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adjustRightInd w:val="0"/>
        <w:snapToGrid w:val="0"/>
        <w:spacing w:line="560" w:lineRule="exact"/>
        <w:ind w:firstLine="560" w:firstLineChars="200"/>
        <w:textAlignment w:val="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坚持“生态优先、绿色发展”，突出大气、水、土壤等重点领域污染治理工作，持续实施“蓝天”“碧水”“净土”专项行动，建设生态净美清河。</w:t>
      </w:r>
    </w:p>
    <w:p w14:paraId="0A4DD5D0">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adjustRightInd w:val="0"/>
        <w:snapToGrid w:val="0"/>
        <w:spacing w:line="560" w:lineRule="exact"/>
        <w:ind w:firstLine="562" w:firstLineChars="200"/>
        <w:textAlignment w:val="auto"/>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1.强力开展“蓝天行动”</w:t>
      </w:r>
    </w:p>
    <w:p w14:paraId="59930B19">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adjustRightInd w:val="0"/>
        <w:snapToGrid w:val="0"/>
        <w:spacing w:line="560" w:lineRule="exact"/>
        <w:ind w:firstLine="560" w:firstLineChars="200"/>
        <w:textAlignment w:val="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围绕空气质量改善和省市下达各项污染防治任务，紧紧盯住PM2.5、PM10等关键指标，瞄准重点区域、重点领域、重点时段，加强大气污染联防联控，强力推进“减煤、抑尘、控车、治企”等重点工作，确保空气质量持续改善，基本消除重污染天气。严格落实“多排多限、少排少限、不排不限”要求，寓管理于服务，确保更多企业升为B级。积极探索有效措施，加大监管力度，着力解决重点领域同类问题反复反弹现象，杜绝污染物随意排放现象，确保让人民群众看见更多蓝天白云，呼吸到更加清洁的空气。</w:t>
      </w:r>
    </w:p>
    <w:p w14:paraId="5D3D12E7">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adjustRightInd w:val="0"/>
        <w:snapToGrid w:val="0"/>
        <w:spacing w:line="560" w:lineRule="exact"/>
        <w:ind w:firstLine="562" w:firstLineChars="200"/>
        <w:textAlignment w:val="auto"/>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2.持续改善水生态环境</w:t>
      </w:r>
    </w:p>
    <w:p w14:paraId="6F209D34">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adjustRightInd w:val="0"/>
        <w:snapToGrid w:val="0"/>
        <w:spacing w:line="560" w:lineRule="exact"/>
        <w:ind w:firstLine="560" w:firstLineChars="200"/>
        <w:textAlignment w:val="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按照《河北省水污染防治工作方案》要求，充分发挥牵头、督导作用，推进重污染河流水质改善、纳污坑塘整治、工业污水达标整治等工作。深入贯彻落实河（湖）长制，落实“一断面一方案、一河一策”要求，持续开展河湖水环境治理，加快碧蓝和开发区污水处理厂提质提标，强化国省考河流断面监测、污染防治、生态修复；扎实开展河湖“清四乱”行动，加快清河湖、陈二庄西北区域湿地建设。持续开展地下水超采综合治理。</w:t>
      </w:r>
    </w:p>
    <w:p w14:paraId="19568181">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adjustRightInd w:val="0"/>
        <w:snapToGrid w:val="0"/>
        <w:spacing w:line="560" w:lineRule="exact"/>
        <w:ind w:firstLine="562" w:firstLineChars="200"/>
        <w:textAlignment w:val="auto"/>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3.扎实开展土壤污染防治</w:t>
      </w:r>
    </w:p>
    <w:p w14:paraId="13D088EF">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adjustRightInd w:val="0"/>
        <w:snapToGrid w:val="0"/>
        <w:spacing w:line="560" w:lineRule="exact"/>
        <w:ind w:firstLine="560" w:firstLineChars="200"/>
        <w:textAlignment w:val="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加强土壤污染预防体系建设，强化固废危废管理，坚持预防为主、保护优先、风险管控的原则，突出农用地和建设用地两大重点，扎实开展土壤污染防治工作，保障土壤环境质量。</w:t>
      </w:r>
    </w:p>
    <w:p w14:paraId="160B7542">
      <w:pPr>
        <w:keepNext w:val="0"/>
        <w:keepLines w:val="0"/>
        <w:pageBreakBefore w:val="0"/>
        <w:widowControl w:val="0"/>
        <w:numPr>
          <w:ilvl w:val="0"/>
          <w:numId w:val="0"/>
        </w:numPr>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adjustRightInd w:val="0"/>
        <w:snapToGrid w:val="0"/>
        <w:spacing w:line="560" w:lineRule="exact"/>
        <w:ind w:firstLine="560" w:firstLineChars="200"/>
        <w:textAlignment w:val="auto"/>
        <w:outlineLvl w:val="2"/>
        <w:rPr>
          <w:rFonts w:ascii="仿宋_GB2312" w:hAnsi="仿宋_GB2312" w:eastAsia="仿宋_GB2312" w:cs="仿宋_GB2312"/>
          <w:color w:val="000000" w:themeColor="text1"/>
          <w:sz w:val="28"/>
          <w:szCs w:val="28"/>
          <w14:textFill>
            <w14:solidFill>
              <w14:schemeClr w14:val="tx1"/>
            </w14:solidFill>
          </w14:textFill>
        </w:rPr>
      </w:pPr>
      <w:bookmarkStart w:id="202" w:name="_Toc18070"/>
      <w:r>
        <w:rPr>
          <w:rFonts w:hint="eastAsia" w:ascii="楷体_GB2312" w:hAnsi="楷体_GB2312" w:eastAsia="楷体_GB2312" w:cs="楷体_GB2312"/>
          <w:b w:val="0"/>
          <w:bCs/>
          <w:color w:val="000000" w:themeColor="text1"/>
          <w:sz w:val="28"/>
          <w:szCs w:val="28"/>
          <w:lang w:eastAsia="zh-CN"/>
          <w14:textFill>
            <w14:solidFill>
              <w14:schemeClr w14:val="tx1"/>
            </w14:solidFill>
          </w14:textFill>
        </w:rPr>
        <w:t>（二）</w:t>
      </w:r>
      <w:r>
        <w:rPr>
          <w:rFonts w:hint="eastAsia" w:ascii="楷体_GB2312" w:hAnsi="楷体_GB2312" w:eastAsia="楷体_GB2312" w:cs="楷体_GB2312"/>
          <w:b w:val="0"/>
          <w:bCs/>
          <w:color w:val="000000" w:themeColor="text1"/>
          <w:sz w:val="28"/>
          <w:szCs w:val="28"/>
          <w14:textFill>
            <w14:solidFill>
              <w14:schemeClr w14:val="tx1"/>
            </w14:solidFill>
          </w14:textFill>
        </w:rPr>
        <w:t>筑牢美丽清河生态底色</w:t>
      </w:r>
      <w:bookmarkEnd w:id="202"/>
    </w:p>
    <w:p w14:paraId="06959225">
      <w:pPr>
        <w:keepNext w:val="0"/>
        <w:keepLines w:val="0"/>
        <w:pageBreakBefore w:val="0"/>
        <w:widowControl w:val="0"/>
        <w:numPr>
          <w:ilvl w:val="0"/>
          <w:numId w:val="0"/>
        </w:numPr>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adjustRightInd w:val="0"/>
        <w:snapToGrid w:val="0"/>
        <w:spacing w:line="560" w:lineRule="exact"/>
        <w:ind w:firstLine="560" w:firstLineChars="200"/>
        <w:textAlignment w:val="auto"/>
        <w:outlineLvl w:val="2"/>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在</w:t>
      </w:r>
      <w:r>
        <w:rPr>
          <w:rFonts w:hint="eastAsia" w:ascii="仿宋_GB2312" w:hAnsi="仿宋_GB2312" w:eastAsia="仿宋_GB2312" w:cs="仿宋_GB2312"/>
          <w:color w:val="000000" w:themeColor="text1"/>
          <w:sz w:val="28"/>
          <w:szCs w:val="28"/>
          <w14:textFill>
            <w14:solidFill>
              <w14:schemeClr w14:val="tx1"/>
            </w14:solidFill>
          </w14:textFill>
        </w:rPr>
        <w:t>明确重点生态功能保护区建设布局的基础上，分批开展，逐步推进，积极探索生态功能保护区建设多样化模式，建立符合我县特点的生态功能</w:t>
      </w:r>
      <w:r>
        <w:rPr>
          <w:rFonts w:hint="eastAsia" w:ascii="仿宋_GB2312" w:hAnsi="仿宋_GB2312" w:eastAsia="仿宋_GB2312" w:cs="仿宋_GB2312"/>
          <w:color w:val="000000" w:themeColor="text1"/>
          <w:spacing w:val="-6"/>
          <w:sz w:val="28"/>
          <w:szCs w:val="28"/>
          <w14:textFill>
            <w14:solidFill>
              <w14:schemeClr w14:val="tx1"/>
            </w14:solidFill>
          </w14:textFill>
        </w:rPr>
        <w:t>保护区格局体系。重点打造“两屏、三廊、多节点”生态格局，做足生态空间，筑牢生态底色。</w:t>
      </w:r>
    </w:p>
    <w:p w14:paraId="60DAFBAA">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adjustRightInd w:val="0"/>
        <w:snapToGrid w:val="0"/>
        <w:spacing w:line="560" w:lineRule="exact"/>
        <w:ind w:firstLine="562" w:firstLineChars="200"/>
        <w:textAlignment w:val="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kern w:val="0"/>
          <w:sz w:val="28"/>
          <w:szCs w:val="28"/>
          <w14:textFill>
            <w14:solidFill>
              <w14:schemeClr w14:val="tx1"/>
            </w14:solidFill>
          </w14:textFill>
        </w:rPr>
        <w:t>两屏：</w:t>
      </w:r>
      <w:r>
        <w:rPr>
          <w:rFonts w:hint="eastAsia" w:ascii="仿宋_GB2312" w:hAnsi="仿宋_GB2312" w:eastAsia="仿宋_GB2312" w:cs="仿宋_GB2312"/>
          <w:color w:val="000000" w:themeColor="text1"/>
          <w:sz w:val="28"/>
          <w:szCs w:val="28"/>
          <w14:textFill>
            <w14:solidFill>
              <w14:schemeClr w14:val="tx1"/>
            </w14:solidFill>
          </w14:textFill>
        </w:rPr>
        <w:t>构筑清凉江、卫运河两道生态屏障，依托生态保护红线划定成果和水土流失治理工作，结合清凉江流域治理和大运河规划，对清凉江、卫运河及南李干渠及其周边的流域开展系统生态修复工程，实施清河湖、开发区城南湿地建设工程，打造“三渠还清、四水绕城”的生态水系景观。</w:t>
      </w:r>
      <w:r>
        <w:rPr>
          <w:rFonts w:hint="eastAsia" w:ascii="仿宋_GB2312" w:hAnsi="仿宋_GB2312" w:eastAsia="仿宋_GB2312" w:cs="仿宋_GB2312"/>
          <w:b/>
          <w:bCs/>
          <w:color w:val="000000" w:themeColor="text1"/>
          <w:kern w:val="0"/>
          <w:sz w:val="28"/>
          <w:szCs w:val="28"/>
          <w14:textFill>
            <w14:solidFill>
              <w14:schemeClr w14:val="tx1"/>
            </w14:solidFill>
          </w14:textFill>
        </w:rPr>
        <w:t>三廊：</w:t>
      </w:r>
      <w:r>
        <w:rPr>
          <w:rFonts w:hint="eastAsia" w:ascii="仿宋_GB2312" w:hAnsi="仿宋_GB2312" w:eastAsia="仿宋_GB2312" w:cs="仿宋_GB2312"/>
          <w:color w:val="000000" w:themeColor="text1"/>
          <w:kern w:val="0"/>
          <w:sz w:val="28"/>
          <w:szCs w:val="28"/>
          <w14:textFill>
            <w14:solidFill>
              <w14:schemeClr w14:val="tx1"/>
            </w14:solidFill>
          </w14:textFill>
        </w:rPr>
        <w:t>清水河中央生态廊道、环城生态廊道和城郊生态廊道。</w:t>
      </w:r>
      <w:r>
        <w:rPr>
          <w:rFonts w:hint="eastAsia" w:ascii="仿宋_GB2312" w:hAnsi="仿宋_GB2312" w:eastAsia="仿宋_GB2312" w:cs="仿宋_GB2312"/>
          <w:b/>
          <w:bCs/>
          <w:color w:val="000000" w:themeColor="text1"/>
          <w:kern w:val="0"/>
          <w:sz w:val="28"/>
          <w:szCs w:val="28"/>
          <w14:textFill>
            <w14:solidFill>
              <w14:schemeClr w14:val="tx1"/>
            </w14:solidFill>
          </w14:textFill>
        </w:rPr>
        <w:t>多节</w:t>
      </w:r>
      <w:r>
        <w:rPr>
          <w:rFonts w:hint="eastAsia" w:ascii="仿宋_GB2312" w:hAnsi="仿宋_GB2312" w:eastAsia="仿宋_GB2312" w:cs="仿宋_GB2312"/>
          <w:b/>
          <w:bCs/>
          <w:color w:val="000000" w:themeColor="text1"/>
          <w:sz w:val="28"/>
          <w:szCs w:val="28"/>
          <w:lang w:val="zh-CN"/>
          <w14:textFill>
            <w14:solidFill>
              <w14:schemeClr w14:val="tx1"/>
            </w14:solidFill>
          </w14:textFill>
        </w:rPr>
        <w:t>点：</w:t>
      </w:r>
      <w:r>
        <w:rPr>
          <w:rFonts w:hint="eastAsia" w:ascii="仿宋_GB2312" w:hAnsi="仿宋_GB2312" w:eastAsia="仿宋_GB2312" w:cs="仿宋_GB2312"/>
          <w:color w:val="000000" w:themeColor="text1"/>
          <w:sz w:val="28"/>
          <w:szCs w:val="28"/>
          <w:lang w:val="zh-CN"/>
          <w14:textFill>
            <w14:solidFill>
              <w14:schemeClr w14:val="tx1"/>
            </w14:solidFill>
          </w14:textFill>
        </w:rPr>
        <w:t>以城</w:t>
      </w:r>
      <w:r>
        <w:rPr>
          <w:rFonts w:hint="eastAsia" w:ascii="仿宋_GB2312" w:hAnsi="仿宋_GB2312" w:eastAsia="仿宋_GB2312" w:cs="仿宋_GB2312"/>
          <w:color w:val="000000" w:themeColor="text1"/>
          <w:sz w:val="28"/>
          <w:szCs w:val="28"/>
          <w14:textFill>
            <w14:solidFill>
              <w14:schemeClr w14:val="tx1"/>
            </w14:solidFill>
          </w14:textFill>
        </w:rPr>
        <w:t>市</w:t>
      </w:r>
      <w:r>
        <w:rPr>
          <w:rFonts w:hint="eastAsia" w:ascii="仿宋_GB2312" w:hAnsi="仿宋_GB2312" w:eastAsia="仿宋_GB2312" w:cs="仿宋_GB2312"/>
          <w:color w:val="000000" w:themeColor="text1"/>
          <w:sz w:val="28"/>
          <w:szCs w:val="28"/>
          <w:lang w:val="zh-CN"/>
          <w14:textFill>
            <w14:solidFill>
              <w14:schemeClr w14:val="tx1"/>
            </w14:solidFill>
          </w14:textFill>
        </w:rPr>
        <w:t>绿化、</w:t>
      </w:r>
      <w:r>
        <w:rPr>
          <w:rFonts w:hint="eastAsia" w:ascii="仿宋_GB2312" w:hAnsi="仿宋_GB2312" w:eastAsia="仿宋_GB2312" w:cs="仿宋_GB2312"/>
          <w:color w:val="000000" w:themeColor="text1"/>
          <w:sz w:val="28"/>
          <w:szCs w:val="28"/>
          <w14:textFill>
            <w14:solidFill>
              <w14:schemeClr w14:val="tx1"/>
            </w14:solidFill>
          </w14:textFill>
        </w:rPr>
        <w:t>乡村绿化、农田林网建设等</w:t>
      </w:r>
      <w:r>
        <w:rPr>
          <w:rFonts w:hint="eastAsia" w:ascii="仿宋_GB2312" w:hAnsi="仿宋_GB2312" w:eastAsia="仿宋_GB2312" w:cs="仿宋_GB2312"/>
          <w:color w:val="000000" w:themeColor="text1"/>
          <w:sz w:val="28"/>
          <w:szCs w:val="28"/>
          <w:lang w:val="zh-CN"/>
          <w14:textFill>
            <w14:solidFill>
              <w14:schemeClr w14:val="tx1"/>
            </w14:solidFill>
          </w14:textFill>
        </w:rPr>
        <w:t>为基础，</w:t>
      </w:r>
      <w:r>
        <w:rPr>
          <w:rFonts w:hint="eastAsia" w:ascii="仿宋_GB2312" w:hAnsi="仿宋_GB2312" w:eastAsia="仿宋_GB2312" w:cs="仿宋_GB2312"/>
          <w:color w:val="000000" w:themeColor="text1"/>
          <w:sz w:val="28"/>
          <w:szCs w:val="28"/>
          <w14:textFill>
            <w14:solidFill>
              <w14:schemeClr w14:val="tx1"/>
            </w14:solidFill>
          </w14:textFill>
        </w:rPr>
        <w:t>开展绿化提升专项行动，增创绿色优势</w:t>
      </w:r>
      <w:r>
        <w:rPr>
          <w:rFonts w:hint="eastAsia" w:ascii="仿宋_GB2312" w:hAnsi="仿宋_GB2312" w:eastAsia="仿宋_GB2312" w:cs="仿宋_GB2312"/>
          <w:color w:val="000000" w:themeColor="text1"/>
          <w:sz w:val="28"/>
          <w:szCs w:val="28"/>
          <w:lang w:val="zh-CN"/>
          <w14:textFill>
            <w14:solidFill>
              <w14:schemeClr w14:val="tx1"/>
            </w14:solidFill>
          </w14:textFill>
        </w:rPr>
        <w:t>。</w:t>
      </w:r>
      <w:bookmarkStart w:id="203" w:name="_Hlk63338223"/>
      <w:r>
        <w:rPr>
          <w:rFonts w:hint="eastAsia" w:ascii="仿宋_GB2312" w:hAnsi="仿宋_GB2312" w:eastAsia="仿宋_GB2312" w:cs="仿宋_GB2312"/>
          <w:color w:val="000000" w:themeColor="text1"/>
          <w:sz w:val="28"/>
          <w:szCs w:val="28"/>
          <w:lang w:val="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十四五</w:t>
      </w:r>
      <w:r>
        <w:rPr>
          <w:rFonts w:hint="eastAsia" w:ascii="仿宋_GB2312" w:hAnsi="仿宋_GB2312" w:eastAsia="仿宋_GB2312" w:cs="仿宋_GB2312"/>
          <w:color w:val="000000" w:themeColor="text1"/>
          <w:sz w:val="28"/>
          <w:szCs w:val="28"/>
          <w:lang w:val="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期间，改造提升综合性公园，新建一批社区公园，实现人均公园绿地面积达到</w:t>
      </w:r>
      <w:r>
        <w:rPr>
          <w:rFonts w:ascii="仿宋_GB2312" w:hAnsi="仿宋_GB2312" w:eastAsia="仿宋_GB2312" w:cs="仿宋_GB2312"/>
          <w:color w:val="000000" w:themeColor="text1"/>
          <w:sz w:val="28"/>
          <w:szCs w:val="28"/>
          <w14:textFill>
            <w14:solidFill>
              <w14:schemeClr w14:val="tx1"/>
            </w14:solidFill>
          </w14:textFill>
        </w:rPr>
        <w:t>12</w:t>
      </w:r>
      <w:r>
        <w:rPr>
          <w:rFonts w:hint="eastAsia" w:ascii="仿宋_GB2312" w:hAnsi="仿宋_GB2312" w:eastAsia="仿宋_GB2312" w:cs="仿宋_GB2312"/>
          <w:color w:val="000000" w:themeColor="text1"/>
          <w:sz w:val="28"/>
          <w:szCs w:val="28"/>
          <w14:textFill>
            <w14:solidFill>
              <w14:schemeClr w14:val="tx1"/>
            </w14:solidFill>
          </w14:textFill>
        </w:rPr>
        <w:t>平方米/人。</w:t>
      </w:r>
      <w:bookmarkEnd w:id="203"/>
    </w:p>
    <w:p w14:paraId="1DBF0F1E">
      <w:pPr>
        <w:keepNext w:val="0"/>
        <w:keepLines w:val="0"/>
        <w:pageBreakBefore w:val="0"/>
        <w:widowControl w:val="0"/>
        <w:numPr>
          <w:ilvl w:val="0"/>
          <w:numId w:val="0"/>
        </w:numPr>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adjustRightInd w:val="0"/>
        <w:snapToGrid w:val="0"/>
        <w:spacing w:line="560" w:lineRule="exact"/>
        <w:ind w:firstLine="560" w:firstLineChars="200"/>
        <w:textAlignment w:val="auto"/>
        <w:outlineLvl w:val="2"/>
        <w:rPr>
          <w:rFonts w:ascii="楷体_GB2312" w:hAnsi="楷体_GB2312" w:eastAsia="楷体_GB2312" w:cs="楷体_GB2312"/>
          <w:b w:val="0"/>
          <w:bCs/>
          <w:color w:val="000000" w:themeColor="text1"/>
          <w:sz w:val="28"/>
          <w:szCs w:val="28"/>
          <w14:textFill>
            <w14:solidFill>
              <w14:schemeClr w14:val="tx1"/>
            </w14:solidFill>
          </w14:textFill>
        </w:rPr>
      </w:pPr>
      <w:bookmarkStart w:id="204" w:name="_Toc20602"/>
      <w:r>
        <w:rPr>
          <w:rFonts w:hint="eastAsia" w:ascii="楷体_GB2312" w:hAnsi="楷体_GB2312" w:eastAsia="楷体_GB2312" w:cs="楷体_GB2312"/>
          <w:b w:val="0"/>
          <w:bCs/>
          <w:color w:val="000000" w:themeColor="text1"/>
          <w:sz w:val="28"/>
          <w:szCs w:val="28"/>
          <w:lang w:eastAsia="zh-CN"/>
          <w14:textFill>
            <w14:solidFill>
              <w14:schemeClr w14:val="tx1"/>
            </w14:solidFill>
          </w14:textFill>
        </w:rPr>
        <w:t>（三）</w:t>
      </w:r>
      <w:r>
        <w:rPr>
          <w:rFonts w:hint="eastAsia" w:ascii="楷体_GB2312" w:hAnsi="楷体_GB2312" w:eastAsia="楷体_GB2312" w:cs="楷体_GB2312"/>
          <w:b w:val="0"/>
          <w:bCs/>
          <w:color w:val="000000" w:themeColor="text1"/>
          <w:sz w:val="28"/>
          <w:szCs w:val="28"/>
          <w14:textFill>
            <w14:solidFill>
              <w14:schemeClr w14:val="tx1"/>
            </w14:solidFill>
          </w14:textFill>
        </w:rPr>
        <w:t>推动生产生活绿色循环低碳发展</w:t>
      </w:r>
      <w:bookmarkEnd w:id="204"/>
      <w:bookmarkStart w:id="205" w:name="_Toc27401"/>
    </w:p>
    <w:p w14:paraId="4A336DA9">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adjustRightInd w:val="0"/>
        <w:snapToGrid w:val="0"/>
        <w:spacing w:line="560" w:lineRule="exact"/>
        <w:ind w:firstLine="560" w:firstLineChars="200"/>
        <w:textAlignment w:val="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坚持绿色发展、绿色惠民。</w:t>
      </w:r>
      <w:r>
        <w:rPr>
          <w:rFonts w:hint="eastAsia" w:ascii="仿宋_GB2312" w:hAnsi="仿宋_GB2312" w:eastAsia="仿宋_GB2312" w:cs="仿宋_GB2312"/>
          <w:b/>
          <w:bCs/>
          <w:color w:val="000000" w:themeColor="text1"/>
          <w:sz w:val="28"/>
          <w:szCs w:val="28"/>
          <w14:textFill>
            <w14:solidFill>
              <w14:schemeClr w14:val="tx1"/>
            </w14:solidFill>
          </w14:textFill>
        </w:rPr>
        <w:t>一是推行绿色生产。</w:t>
      </w:r>
      <w:bookmarkStart w:id="206" w:name="_Hlk63338940"/>
      <w:r>
        <w:rPr>
          <w:rFonts w:hint="eastAsia" w:ascii="仿宋_GB2312" w:hAnsi="仿宋_GB2312" w:eastAsia="仿宋_GB2312" w:cs="仿宋_GB2312"/>
          <w:color w:val="000000" w:themeColor="text1"/>
          <w:sz w:val="28"/>
          <w:szCs w:val="28"/>
          <w14:textFill>
            <w14:solidFill>
              <w14:schemeClr w14:val="tx1"/>
            </w14:solidFill>
          </w14:textFill>
        </w:rPr>
        <w:t>推行能耗总量和强度、污染物排放总量和浓度双重控制，严格实施项目能评和环评制度，提高能耗、污染物排放管控标准，着力构建节能减排长效机制，力争规上企业绿色工厂。</w:t>
      </w:r>
      <w:bookmarkEnd w:id="206"/>
      <w:r>
        <w:rPr>
          <w:rFonts w:hint="eastAsia" w:ascii="仿宋_GB2312" w:hAnsi="仿宋_GB2312" w:eastAsia="仿宋_GB2312" w:cs="仿宋_GB2312"/>
          <w:b/>
          <w:bCs/>
          <w:color w:val="000000" w:themeColor="text1"/>
          <w:sz w:val="28"/>
          <w:szCs w:val="28"/>
          <w14:textFill>
            <w14:solidFill>
              <w14:schemeClr w14:val="tx1"/>
            </w14:solidFill>
          </w14:textFill>
        </w:rPr>
        <w:t>二是倡导绿色生活。</w:t>
      </w:r>
      <w:r>
        <w:rPr>
          <w:rFonts w:hint="eastAsia" w:ascii="仿宋_GB2312" w:hAnsi="仿宋_GB2312" w:eastAsia="仿宋_GB2312" w:cs="仿宋_GB2312"/>
          <w:color w:val="000000" w:themeColor="text1"/>
          <w:sz w:val="28"/>
          <w:szCs w:val="28"/>
          <w14:textFill>
            <w14:solidFill>
              <w14:schemeClr w14:val="tx1"/>
            </w14:solidFill>
          </w14:textFill>
        </w:rPr>
        <w:t>普遍推行绿色建筑、生活垃圾分类，开展节约型机关、绿色社区、绿色学校、绿色家庭创建，巩固“双代”工程成果，降低能源消耗和碳排放强度，推动形成绿色生活方式，积极打造绿色发展样板；推进绿色殡葬，保持火化率100%，实现集中安葬设施全覆盖，倡导文明祭祀新风尚。</w:t>
      </w:r>
      <w:r>
        <w:rPr>
          <w:rFonts w:hint="eastAsia" w:ascii="仿宋_GB2312" w:hAnsi="仿宋_GB2312" w:eastAsia="仿宋_GB2312" w:cs="仿宋_GB2312"/>
          <w:b/>
          <w:bCs/>
          <w:color w:val="000000" w:themeColor="text1"/>
          <w:sz w:val="28"/>
          <w:szCs w:val="28"/>
          <w14:textFill>
            <w14:solidFill>
              <w14:schemeClr w14:val="tx1"/>
            </w14:solidFill>
          </w14:textFill>
        </w:rPr>
        <w:t>三是完善绿色制度。</w:t>
      </w:r>
      <w:r>
        <w:rPr>
          <w:rFonts w:hint="eastAsia" w:ascii="仿宋_GB2312" w:hAnsi="仿宋_GB2312" w:eastAsia="仿宋_GB2312" w:cs="仿宋_GB2312"/>
          <w:color w:val="000000" w:themeColor="text1"/>
          <w:sz w:val="28"/>
          <w:szCs w:val="28"/>
          <w14:textFill>
            <w14:solidFill>
              <w14:schemeClr w14:val="tx1"/>
            </w14:solidFill>
          </w14:textFill>
        </w:rPr>
        <w:t>严格落实生态环境保护制度，健全绿色发展考评监督制度，继续落实领导干部任期生态文明建设责任制。稳妥推进水价改革，完善阶梯水价等调控政策，健全污水处理收费制度，加快节水型社会建设。完善差别化电价政策，推行绿色产品政府采购制度，建立激励导向的绿色发展制度政策体系。</w:t>
      </w:r>
      <w:bookmarkStart w:id="207" w:name="_Toc32121"/>
    </w:p>
    <w:p w14:paraId="4847EE53">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adjustRightInd w:val="0"/>
        <w:snapToGrid w:val="0"/>
        <w:spacing w:line="560" w:lineRule="exact"/>
        <w:ind w:firstLine="560" w:firstLineChars="200"/>
        <w:textAlignment w:val="auto"/>
        <w:outlineLvl w:val="1"/>
        <w:rPr>
          <w:rStyle w:val="32"/>
          <w:rFonts w:ascii="黑体" w:hAnsi="黑体" w:eastAsia="黑体"/>
          <w:b w:val="0"/>
          <w:bCs w:val="0"/>
          <w:color w:val="000000" w:themeColor="text1"/>
          <w:sz w:val="28"/>
          <w:szCs w:val="28"/>
          <w14:textFill>
            <w14:solidFill>
              <w14:schemeClr w14:val="tx1"/>
            </w14:solidFill>
          </w14:textFill>
        </w:rPr>
      </w:pPr>
      <w:bookmarkStart w:id="208" w:name="_Toc7748"/>
      <w:r>
        <w:rPr>
          <w:rStyle w:val="32"/>
          <w:rFonts w:hint="eastAsia" w:ascii="黑体" w:hAnsi="黑体" w:eastAsia="黑体"/>
          <w:b w:val="0"/>
          <w:bCs w:val="0"/>
          <w:color w:val="000000" w:themeColor="text1"/>
          <w:sz w:val="28"/>
          <w:szCs w:val="28"/>
          <w14:textFill>
            <w14:solidFill>
              <w14:schemeClr w14:val="tx1"/>
            </w14:solidFill>
          </w14:textFill>
        </w:rPr>
        <w:t>八、聚焦民生改善，释放高质量赶超发展新红利</w:t>
      </w:r>
      <w:bookmarkEnd w:id="200"/>
      <w:bookmarkEnd w:id="205"/>
      <w:bookmarkEnd w:id="207"/>
      <w:bookmarkEnd w:id="208"/>
    </w:p>
    <w:p w14:paraId="3DC51902">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adjustRightInd w:val="0"/>
        <w:snapToGrid w:val="0"/>
        <w:spacing w:line="560" w:lineRule="exact"/>
        <w:ind w:firstLine="560" w:firstLineChars="200"/>
        <w:textAlignment w:val="auto"/>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坚持以人民为中心，把人民利益摆在至高无上的地位，加强普惠性、基础性、兜底性民生建设，全力办好民生实事，健全基本公共服务体系，改善人民生活品质，推动民生建设再上新台阶。</w:t>
      </w:r>
      <w:bookmarkStart w:id="209" w:name="_Toc7964"/>
      <w:bookmarkStart w:id="210" w:name="_Toc26067"/>
      <w:bookmarkStart w:id="211" w:name="_Toc9569"/>
    </w:p>
    <w:p w14:paraId="3512827F">
      <w:pPr>
        <w:keepNext w:val="0"/>
        <w:keepLines w:val="0"/>
        <w:pageBreakBefore w:val="0"/>
        <w:widowControl w:val="0"/>
        <w:numPr>
          <w:ilvl w:val="0"/>
          <w:numId w:val="0"/>
        </w:numPr>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adjustRightInd w:val="0"/>
        <w:snapToGrid w:val="0"/>
        <w:spacing w:line="560" w:lineRule="exact"/>
        <w:ind w:firstLine="560" w:firstLineChars="200"/>
        <w:textAlignment w:val="auto"/>
        <w:outlineLvl w:val="2"/>
        <w:rPr>
          <w:rFonts w:ascii="楷体_GB2312" w:hAnsi="楷体_GB2312" w:eastAsia="楷体_GB2312" w:cs="楷体_GB2312"/>
          <w:b w:val="0"/>
          <w:bCs/>
          <w:color w:val="000000" w:themeColor="text1"/>
          <w:sz w:val="28"/>
          <w:szCs w:val="28"/>
          <w14:textFill>
            <w14:solidFill>
              <w14:schemeClr w14:val="tx1"/>
            </w14:solidFill>
          </w14:textFill>
        </w:rPr>
      </w:pPr>
      <w:bookmarkStart w:id="212" w:name="_Toc26421"/>
      <w:r>
        <w:rPr>
          <w:rFonts w:hint="eastAsia" w:ascii="楷体_GB2312" w:hAnsi="楷体_GB2312" w:eastAsia="楷体_GB2312" w:cs="楷体_GB2312"/>
          <w:b w:val="0"/>
          <w:bCs/>
          <w:color w:val="000000" w:themeColor="text1"/>
          <w:sz w:val="28"/>
          <w:szCs w:val="28"/>
          <w:lang w:eastAsia="zh-CN"/>
          <w14:textFill>
            <w14:solidFill>
              <w14:schemeClr w14:val="tx1"/>
            </w14:solidFill>
          </w14:textFill>
        </w:rPr>
        <w:t>（一）</w:t>
      </w:r>
      <w:r>
        <w:rPr>
          <w:rFonts w:hint="eastAsia" w:ascii="楷体_GB2312" w:hAnsi="楷体_GB2312" w:eastAsia="楷体_GB2312" w:cs="楷体_GB2312"/>
          <w:b w:val="0"/>
          <w:bCs/>
          <w:color w:val="000000" w:themeColor="text1"/>
          <w:sz w:val="28"/>
          <w:szCs w:val="28"/>
          <w14:textFill>
            <w14:solidFill>
              <w14:schemeClr w14:val="tx1"/>
            </w14:solidFill>
          </w14:textFill>
        </w:rPr>
        <w:t>巩固拓展脱贫攻坚成果</w:t>
      </w:r>
      <w:bookmarkEnd w:id="209"/>
      <w:bookmarkEnd w:id="210"/>
      <w:bookmarkEnd w:id="211"/>
      <w:bookmarkEnd w:id="212"/>
    </w:p>
    <w:p w14:paraId="1D039022">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adjustRightInd w:val="0"/>
        <w:snapToGrid w:val="0"/>
        <w:spacing w:line="560" w:lineRule="exact"/>
        <w:ind w:firstLine="562" w:firstLineChars="200"/>
        <w:textAlignment w:val="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保持帮扶政策总体稳定，</w:t>
      </w:r>
      <w:r>
        <w:rPr>
          <w:rFonts w:hint="eastAsia" w:ascii="仿宋_GB2312" w:hAnsi="仿宋_GB2312" w:eastAsia="仿宋_GB2312" w:cs="仿宋_GB2312"/>
          <w:color w:val="000000" w:themeColor="text1"/>
          <w:sz w:val="28"/>
          <w:szCs w:val="28"/>
          <w14:textFill>
            <w14:solidFill>
              <w14:schemeClr w14:val="tx1"/>
            </w14:solidFill>
          </w14:textFill>
        </w:rPr>
        <w:t>严格落实“四个不摘”要求，保持现有帮扶政策、资金支持、帮扶力量总体稳定。</w:t>
      </w:r>
      <w:r>
        <w:rPr>
          <w:rFonts w:hint="eastAsia" w:ascii="仿宋_GB2312" w:hAnsi="仿宋_GB2312" w:eastAsia="仿宋_GB2312" w:cs="仿宋_GB2312"/>
          <w:b/>
          <w:bCs/>
          <w:color w:val="000000" w:themeColor="text1"/>
          <w:sz w:val="28"/>
          <w:szCs w:val="28"/>
          <w14:textFill>
            <w14:solidFill>
              <w14:schemeClr w14:val="tx1"/>
            </w14:solidFill>
          </w14:textFill>
        </w:rPr>
        <w:t>不断健全防贫监测和帮扶机制，</w:t>
      </w:r>
      <w:r>
        <w:rPr>
          <w:rFonts w:hint="eastAsia" w:ascii="仿宋_GB2312" w:hAnsi="仿宋_GB2312" w:eastAsia="仿宋_GB2312" w:cs="仿宋_GB2312"/>
          <w:color w:val="000000" w:themeColor="text1"/>
          <w:sz w:val="28"/>
          <w:szCs w:val="28"/>
          <w14:textFill>
            <w14:solidFill>
              <w14:schemeClr w14:val="tx1"/>
            </w14:solidFill>
          </w14:textFill>
        </w:rPr>
        <w:t>继续对脱贫不稳定、边缘易致贫户开展监测，持续跟踪收入变化和“两不愁三年保障”巩固情况，及时帮扶动态清零，做好“自上而下”“自下而上”双向监测、预警、救助，强化对脱贫不稳定户、边缘易致贫户有针对性地帮扶措施，筑牢防止返贫的坚固防线。</w:t>
      </w:r>
      <w:r>
        <w:rPr>
          <w:rFonts w:hint="eastAsia" w:ascii="仿宋_GB2312" w:hAnsi="仿宋_GB2312" w:eastAsia="仿宋_GB2312" w:cs="仿宋_GB2312"/>
          <w:b/>
          <w:bCs/>
          <w:color w:val="000000" w:themeColor="text1"/>
          <w:sz w:val="28"/>
          <w:szCs w:val="28"/>
          <w14:textFill>
            <w14:solidFill>
              <w14:schemeClr w14:val="tx1"/>
            </w14:solidFill>
          </w14:textFill>
        </w:rPr>
        <w:t>做好脱贫攻坚与乡村振兴有效衔接，</w:t>
      </w:r>
      <w:r>
        <w:rPr>
          <w:rFonts w:hint="eastAsia" w:ascii="仿宋_GB2312" w:hAnsi="仿宋_GB2312" w:eastAsia="仿宋_GB2312" w:cs="仿宋_GB2312"/>
          <w:color w:val="000000" w:themeColor="text1"/>
          <w:sz w:val="28"/>
          <w:szCs w:val="28"/>
          <w14:textFill>
            <w14:solidFill>
              <w14:schemeClr w14:val="tx1"/>
            </w14:solidFill>
          </w14:textFill>
        </w:rPr>
        <w:t>不断创新帮扶措施，发展“一村一品”专业村，持续发展壮大扶贫产业，加大对脱贫人口职业技能培训力度，促进农民增收，确保工作不断档、精神不懈怠、标准不降低。</w:t>
      </w:r>
    </w:p>
    <w:p w14:paraId="74DE52B3">
      <w:pPr>
        <w:keepNext w:val="0"/>
        <w:keepLines w:val="0"/>
        <w:pageBreakBefore w:val="0"/>
        <w:widowControl w:val="0"/>
        <w:numPr>
          <w:ilvl w:val="0"/>
          <w:numId w:val="0"/>
        </w:numPr>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adjustRightInd w:val="0"/>
        <w:snapToGrid w:val="0"/>
        <w:spacing w:line="560" w:lineRule="exact"/>
        <w:ind w:firstLine="560" w:firstLineChars="200"/>
        <w:textAlignment w:val="auto"/>
        <w:outlineLvl w:val="2"/>
        <w:rPr>
          <w:rFonts w:ascii="楷体_GB2312" w:hAnsi="楷体_GB2312" w:eastAsia="楷体_GB2312" w:cs="楷体_GB2312"/>
          <w:b w:val="0"/>
          <w:bCs/>
          <w:color w:val="000000" w:themeColor="text1"/>
          <w:sz w:val="28"/>
          <w:szCs w:val="28"/>
          <w14:textFill>
            <w14:solidFill>
              <w14:schemeClr w14:val="tx1"/>
            </w14:solidFill>
          </w14:textFill>
        </w:rPr>
      </w:pPr>
      <w:bookmarkStart w:id="213" w:name="_Toc22372"/>
      <w:r>
        <w:rPr>
          <w:rFonts w:hint="eastAsia" w:ascii="楷体_GB2312" w:hAnsi="楷体_GB2312" w:eastAsia="楷体_GB2312" w:cs="楷体_GB2312"/>
          <w:b w:val="0"/>
          <w:bCs/>
          <w:color w:val="000000" w:themeColor="text1"/>
          <w:sz w:val="28"/>
          <w:szCs w:val="28"/>
          <w:lang w:eastAsia="zh-CN"/>
          <w14:textFill>
            <w14:solidFill>
              <w14:schemeClr w14:val="tx1"/>
            </w14:solidFill>
          </w14:textFill>
        </w:rPr>
        <w:t>（二）</w:t>
      </w:r>
      <w:r>
        <w:rPr>
          <w:rFonts w:hint="eastAsia" w:ascii="楷体_GB2312" w:hAnsi="楷体_GB2312" w:eastAsia="楷体_GB2312" w:cs="楷体_GB2312"/>
          <w:b w:val="0"/>
          <w:bCs/>
          <w:color w:val="000000" w:themeColor="text1"/>
          <w:sz w:val="28"/>
          <w:szCs w:val="28"/>
          <w14:textFill>
            <w14:solidFill>
              <w14:schemeClr w14:val="tx1"/>
            </w14:solidFill>
          </w14:textFill>
        </w:rPr>
        <w:t>实施就业优先政策</w:t>
      </w:r>
      <w:bookmarkEnd w:id="213"/>
    </w:p>
    <w:p w14:paraId="416E660E">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adjustRightInd w:val="0"/>
        <w:snapToGrid w:val="0"/>
        <w:spacing w:line="560" w:lineRule="exact"/>
        <w:ind w:firstLine="560" w:firstLineChars="200"/>
        <w:textAlignment w:val="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千方百计稳定和扩大就业，树强经济发展就业导向，扩大就业容量，提升就业质量。围绕实现更充分就业、更高质量就业目标，进一步完善就业创业政策支持力度，升级现有公共就业服务信息化平台，促进高校毕业生、退役军人、农民工和就业困难人员等重点群体就业。</w:t>
      </w:r>
    </w:p>
    <w:p w14:paraId="5421BEAF">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adjustRightInd w:val="0"/>
        <w:snapToGrid w:val="0"/>
        <w:spacing w:line="560" w:lineRule="exact"/>
        <w:ind w:firstLine="562"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加强返乡创业支持力度，激发返乡创业者积极性。</w:t>
      </w:r>
      <w:r>
        <w:rPr>
          <w:rFonts w:hint="eastAsia" w:ascii="仿宋_GB2312" w:hAnsi="仿宋_GB2312" w:eastAsia="仿宋_GB2312" w:cs="仿宋_GB2312"/>
          <w:color w:val="000000" w:themeColor="text1"/>
          <w:sz w:val="28"/>
          <w:szCs w:val="28"/>
          <w14:textFill>
            <w14:solidFill>
              <w14:schemeClr w14:val="tx1"/>
            </w14:solidFill>
          </w14:textFill>
        </w:rPr>
        <w:t>一是充分发挥创业担保贷款作用，落实贴息贷款政策、创业补贴政策；二是加大创业培训开展力度，开展“量身定做”式的培训，三是依托创业孵化基地建立专家团队，对全县创业者进行创业指导。</w:t>
      </w:r>
      <w:r>
        <w:rPr>
          <w:rFonts w:hint="eastAsia" w:ascii="仿宋_GB2312" w:hAnsi="仿宋_GB2312" w:eastAsia="仿宋_GB2312" w:cs="仿宋_GB2312"/>
          <w:b/>
          <w:bCs/>
          <w:color w:val="000000" w:themeColor="text1"/>
          <w:sz w:val="28"/>
          <w:szCs w:val="28"/>
          <w14:textFill>
            <w14:solidFill>
              <w14:schemeClr w14:val="tx1"/>
            </w14:solidFill>
          </w14:textFill>
        </w:rPr>
        <w:t>拓宽渠道加强培训，提高农村劳动力就业质量。</w:t>
      </w:r>
      <w:r>
        <w:rPr>
          <w:rFonts w:hint="eastAsia" w:ascii="仿宋_GB2312" w:hAnsi="仿宋_GB2312" w:eastAsia="仿宋_GB2312" w:cs="仿宋_GB2312"/>
          <w:color w:val="000000" w:themeColor="text1"/>
          <w:sz w:val="28"/>
          <w:szCs w:val="28"/>
          <w14:textFill>
            <w14:solidFill>
              <w14:schemeClr w14:val="tx1"/>
            </w14:solidFill>
          </w14:textFill>
        </w:rPr>
        <w:t>大力通过开展“就业援助月”“春风行动”“民营企业招聘周”等一系列招聘活动，促进农村富余劳动力转移就业；统筹职业农民、实用技术、劳务品牌等培训资源，狠抓农民工职业技能培训；加快培养农村发展带头人和农村技能服务型、生产经营型人才，引导广大农村劳动力由体力型向技能型、专业型转变，提升就业质量。</w:t>
      </w:r>
      <w:r>
        <w:rPr>
          <w:rFonts w:hint="eastAsia" w:ascii="仿宋_GB2312" w:hAnsi="仿宋_GB2312" w:eastAsia="仿宋_GB2312" w:cs="仿宋_GB2312"/>
          <w:b/>
          <w:bCs/>
          <w:color w:val="000000" w:themeColor="text1"/>
          <w:sz w:val="28"/>
          <w:szCs w:val="28"/>
          <w14:textFill>
            <w14:solidFill>
              <w14:schemeClr w14:val="tx1"/>
            </w14:solidFill>
          </w14:textFill>
        </w:rPr>
        <w:t>加强创业基地建设，营造更优就业创业环境</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培育扶持一批特色突出、功能完善、承载能力强，具有一定示范和辐射带动作用的孵化基地，为创业者提供良好的创业环境和创业服务。“十四五”期间，实现孵化小企业200个，城镇新增就业2万人，培训8000人；充分发挥小额担保贷款职能，不断提高贷款额度、放低贷款门槛、精简发放环节、提升服务效率。</w:t>
      </w:r>
    </w:p>
    <w:p w14:paraId="6447CAD5">
      <w:pPr>
        <w:keepNext w:val="0"/>
        <w:keepLines w:val="0"/>
        <w:pageBreakBefore w:val="0"/>
        <w:widowControl w:val="0"/>
        <w:numPr>
          <w:ilvl w:val="0"/>
          <w:numId w:val="0"/>
        </w:numPr>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adjustRightInd w:val="0"/>
        <w:snapToGrid w:val="0"/>
        <w:spacing w:line="560" w:lineRule="exact"/>
        <w:ind w:firstLine="560" w:firstLineChars="200"/>
        <w:textAlignment w:val="auto"/>
        <w:outlineLvl w:val="2"/>
        <w:rPr>
          <w:rFonts w:ascii="楷体_GB2312" w:hAnsi="楷体_GB2312" w:eastAsia="楷体_GB2312" w:cs="楷体_GB2312"/>
          <w:b w:val="0"/>
          <w:bCs/>
          <w:color w:val="000000" w:themeColor="text1"/>
          <w:sz w:val="28"/>
          <w:szCs w:val="28"/>
          <w14:textFill>
            <w14:solidFill>
              <w14:schemeClr w14:val="tx1"/>
            </w14:solidFill>
          </w14:textFill>
        </w:rPr>
      </w:pPr>
      <w:bookmarkStart w:id="214" w:name="_Toc16387"/>
      <w:r>
        <w:rPr>
          <w:rFonts w:hint="eastAsia" w:ascii="楷体_GB2312" w:hAnsi="楷体_GB2312" w:eastAsia="楷体_GB2312" w:cs="楷体_GB2312"/>
          <w:b w:val="0"/>
          <w:bCs/>
          <w:color w:val="000000" w:themeColor="text1"/>
          <w:sz w:val="28"/>
          <w:szCs w:val="28"/>
          <w:lang w:eastAsia="zh-CN"/>
          <w14:textFill>
            <w14:solidFill>
              <w14:schemeClr w14:val="tx1"/>
            </w14:solidFill>
          </w14:textFill>
        </w:rPr>
        <w:t>（三）</w:t>
      </w:r>
      <w:r>
        <w:rPr>
          <w:rFonts w:hint="eastAsia" w:ascii="楷体_GB2312" w:hAnsi="楷体_GB2312" w:eastAsia="楷体_GB2312" w:cs="楷体_GB2312"/>
          <w:b w:val="0"/>
          <w:bCs/>
          <w:color w:val="000000" w:themeColor="text1"/>
          <w:sz w:val="28"/>
          <w:szCs w:val="28"/>
          <w14:textFill>
            <w14:solidFill>
              <w14:schemeClr w14:val="tx1"/>
            </w14:solidFill>
          </w14:textFill>
        </w:rPr>
        <w:t>开展全民增收行动</w:t>
      </w:r>
      <w:bookmarkEnd w:id="214"/>
    </w:p>
    <w:p w14:paraId="0612D295">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adjustRightInd w:val="0"/>
        <w:snapToGrid w:val="0"/>
        <w:spacing w:line="560" w:lineRule="exact"/>
        <w:ind w:firstLine="560" w:firstLineChars="200"/>
        <w:textAlignment w:val="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坚持多劳多得，提高劳动报酬在初次分配中的比重；加大税收、社保、转移支付等再分配调节力度和精准性，发挥第三次分配作用。</w:t>
      </w:r>
      <w:r>
        <w:rPr>
          <w:rFonts w:hint="eastAsia" w:ascii="仿宋_GB2312" w:hAnsi="仿宋_GB2312" w:eastAsia="仿宋_GB2312" w:cs="仿宋_GB2312"/>
          <w:b/>
          <w:bCs/>
          <w:color w:val="000000" w:themeColor="text1"/>
          <w:sz w:val="28"/>
          <w:szCs w:val="28"/>
          <w14:textFill>
            <w14:solidFill>
              <w14:schemeClr w14:val="tx1"/>
            </w14:solidFill>
          </w14:textFill>
        </w:rPr>
        <w:t>全面落实全民增收三年行动计划</w:t>
      </w:r>
      <w:r>
        <w:rPr>
          <w:rFonts w:hint="eastAsia" w:ascii="仿宋_GB2312" w:hAnsi="仿宋_GB2312" w:eastAsia="仿宋_GB2312" w:cs="仿宋_GB2312"/>
          <w:color w:val="000000" w:themeColor="text1"/>
          <w:sz w:val="28"/>
          <w:szCs w:val="28"/>
          <w14:textFill>
            <w14:solidFill>
              <w14:schemeClr w14:val="tx1"/>
            </w14:solidFill>
          </w14:textFill>
        </w:rPr>
        <w:t>。坚持多措并举，切实增加城乡居民的工资性收入、经营性收入、财产性收入和转移性收入，打好政策激励、技能培训、产业就业、电商富民、特色种养、兜底保障等全民增收组合拳，进一步拓宽群众增收渠道。</w:t>
      </w:r>
      <w:r>
        <w:rPr>
          <w:rFonts w:hint="eastAsia" w:ascii="仿宋_GB2312" w:hAnsi="仿宋_GB2312" w:eastAsia="仿宋_GB2312" w:cs="仿宋_GB2312"/>
          <w:b/>
          <w:bCs/>
          <w:color w:val="000000" w:themeColor="text1"/>
          <w:sz w:val="28"/>
          <w:szCs w:val="28"/>
          <w14:textFill>
            <w14:solidFill>
              <w14:schemeClr w14:val="tx1"/>
            </w14:solidFill>
          </w14:textFill>
        </w:rPr>
        <w:t>大力实施“万元钱”项目</w:t>
      </w:r>
      <w:r>
        <w:rPr>
          <w:rFonts w:hint="eastAsia" w:ascii="仿宋_GB2312" w:hAnsi="仿宋_GB2312" w:eastAsia="仿宋_GB2312" w:cs="仿宋_GB2312"/>
          <w:color w:val="000000" w:themeColor="text1"/>
          <w:sz w:val="28"/>
          <w:szCs w:val="28"/>
          <w14:textFill>
            <w14:solidFill>
              <w14:schemeClr w14:val="tx1"/>
            </w14:solidFill>
          </w14:textFill>
        </w:rPr>
        <w:t>。调优农业结构，发挥清河山楂、中药材、果品、设施蔬菜、奶业等特色优势，培育新型农业经营主体，推进一二三产深度融合，带动农业增效、农民增收。</w:t>
      </w:r>
      <w:r>
        <w:rPr>
          <w:rFonts w:hint="eastAsia" w:ascii="仿宋_GB2312" w:hAnsi="仿宋_GB2312" w:eastAsia="仿宋_GB2312" w:cs="仿宋_GB2312"/>
          <w:b/>
          <w:bCs/>
          <w:color w:val="000000" w:themeColor="text1"/>
          <w:sz w:val="28"/>
          <w:szCs w:val="28"/>
          <w14:textFill>
            <w14:solidFill>
              <w14:schemeClr w14:val="tx1"/>
            </w14:solidFill>
          </w14:textFill>
        </w:rPr>
        <w:t>大力实施全民创业工程</w:t>
      </w:r>
      <w:r>
        <w:rPr>
          <w:rFonts w:hint="eastAsia" w:ascii="仿宋_GB2312" w:hAnsi="仿宋_GB2312" w:eastAsia="仿宋_GB2312" w:cs="仿宋_GB2312"/>
          <w:color w:val="000000" w:themeColor="text1"/>
          <w:sz w:val="28"/>
          <w:szCs w:val="28"/>
          <w14:textFill>
            <w14:solidFill>
              <w14:schemeClr w14:val="tx1"/>
            </w14:solidFill>
          </w14:textFill>
        </w:rPr>
        <w:t>。利用创业孵化基地、创业空间等平台，多元化培育创业主体，以投资倍增行动为抓手拉动就业，着力提高低收入群体收入，扩大中等收入群体。</w:t>
      </w:r>
    </w:p>
    <w:p w14:paraId="6B5CDB03">
      <w:pPr>
        <w:keepNext w:val="0"/>
        <w:keepLines w:val="0"/>
        <w:pageBreakBefore w:val="0"/>
        <w:widowControl w:val="0"/>
        <w:numPr>
          <w:ilvl w:val="0"/>
          <w:numId w:val="0"/>
        </w:numPr>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adjustRightInd w:val="0"/>
        <w:snapToGrid w:val="0"/>
        <w:spacing w:line="560" w:lineRule="exact"/>
        <w:ind w:firstLine="560" w:firstLineChars="200"/>
        <w:textAlignment w:val="auto"/>
        <w:outlineLvl w:val="2"/>
        <w:rPr>
          <w:rFonts w:ascii="楷体_GB2312" w:hAnsi="楷体_GB2312" w:eastAsia="楷体_GB2312" w:cs="楷体_GB2312"/>
          <w:b w:val="0"/>
          <w:bCs/>
          <w:color w:val="000000" w:themeColor="text1"/>
          <w:sz w:val="28"/>
          <w:szCs w:val="28"/>
          <w14:textFill>
            <w14:solidFill>
              <w14:schemeClr w14:val="tx1"/>
            </w14:solidFill>
          </w14:textFill>
        </w:rPr>
      </w:pPr>
      <w:bookmarkStart w:id="215" w:name="_Toc19471"/>
      <w:r>
        <w:rPr>
          <w:rFonts w:hint="eastAsia" w:ascii="楷体_GB2312" w:hAnsi="楷体_GB2312" w:eastAsia="楷体_GB2312" w:cs="楷体_GB2312"/>
          <w:b w:val="0"/>
          <w:bCs/>
          <w:color w:val="000000" w:themeColor="text1"/>
          <w:sz w:val="28"/>
          <w:szCs w:val="28"/>
          <w:lang w:eastAsia="zh-CN"/>
          <w14:textFill>
            <w14:solidFill>
              <w14:schemeClr w14:val="tx1"/>
            </w14:solidFill>
          </w14:textFill>
        </w:rPr>
        <w:t>（四）</w:t>
      </w:r>
      <w:r>
        <w:rPr>
          <w:rFonts w:hint="eastAsia" w:ascii="楷体_GB2312" w:hAnsi="楷体_GB2312" w:eastAsia="楷体_GB2312" w:cs="楷体_GB2312"/>
          <w:b w:val="0"/>
          <w:bCs/>
          <w:color w:val="000000" w:themeColor="text1"/>
          <w:sz w:val="28"/>
          <w:szCs w:val="28"/>
          <w14:textFill>
            <w14:solidFill>
              <w14:schemeClr w14:val="tx1"/>
            </w14:solidFill>
          </w14:textFill>
        </w:rPr>
        <w:t>完善社会保障体系</w:t>
      </w:r>
      <w:bookmarkEnd w:id="215"/>
    </w:p>
    <w:p w14:paraId="466364CF">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adjustRightInd w:val="0"/>
        <w:snapToGrid w:val="0"/>
        <w:spacing w:line="560" w:lineRule="exact"/>
        <w:ind w:firstLine="560" w:firstLineChars="200"/>
        <w:textAlignment w:val="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坚持应保尽保原则，构建覆盖全县、统筹城乡、公平统一、可持续的多层次社会保障制度。</w:t>
      </w:r>
    </w:p>
    <w:p w14:paraId="3E7A027A">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adjustRightInd w:val="0"/>
        <w:snapToGrid w:val="0"/>
        <w:spacing w:line="560" w:lineRule="exact"/>
        <w:ind w:firstLine="562" w:firstLineChars="200"/>
        <w:textAlignment w:val="auto"/>
        <w:outlineLvl w:val="2"/>
        <w:rPr>
          <w:rFonts w:ascii="仿宋_GB2312" w:hAnsi="仿宋_GB2312" w:eastAsia="仿宋_GB2312" w:cs="仿宋_GB2312"/>
          <w:b/>
          <w:color w:val="000000" w:themeColor="text1"/>
          <w:kern w:val="0"/>
          <w:sz w:val="28"/>
          <w:szCs w:val="28"/>
          <w14:textFill>
            <w14:solidFill>
              <w14:schemeClr w14:val="tx1"/>
            </w14:solidFill>
          </w14:textFill>
        </w:rPr>
      </w:pPr>
      <w:bookmarkStart w:id="216" w:name="_Toc15262"/>
      <w:bookmarkStart w:id="217" w:name="_Toc63333020"/>
      <w:bookmarkStart w:id="218" w:name="_Toc63356424"/>
      <w:bookmarkStart w:id="219" w:name="_Toc32027"/>
      <w:bookmarkStart w:id="220" w:name="_Toc16867"/>
      <w:r>
        <w:rPr>
          <w:rFonts w:hint="eastAsia" w:ascii="仿宋_GB2312" w:hAnsi="仿宋_GB2312" w:eastAsia="仿宋_GB2312" w:cs="仿宋_GB2312"/>
          <w:b/>
          <w:color w:val="000000" w:themeColor="text1"/>
          <w:kern w:val="0"/>
          <w:sz w:val="28"/>
          <w:szCs w:val="28"/>
          <w14:textFill>
            <w14:solidFill>
              <w14:schemeClr w14:val="tx1"/>
            </w14:solidFill>
          </w14:textFill>
        </w:rPr>
        <w:t>1.持续推进社会保险全覆盖</w:t>
      </w:r>
      <w:bookmarkEnd w:id="216"/>
      <w:bookmarkEnd w:id="217"/>
      <w:bookmarkEnd w:id="218"/>
      <w:bookmarkEnd w:id="219"/>
      <w:bookmarkEnd w:id="220"/>
    </w:p>
    <w:p w14:paraId="723C3717">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adjustRightInd w:val="0"/>
        <w:snapToGrid w:val="0"/>
        <w:spacing w:line="560" w:lineRule="exact"/>
        <w:ind w:firstLine="560" w:firstLineChars="200"/>
        <w:textAlignment w:val="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实施全民参保计划，促进和引导各类单位和符合条件的人员长期持续参保，基本实现法定人员全覆盖。“十四五”末，实现参保人数达到22.5万人，参保率达到99%以上，养老金发放率为100%。健全基本医疗保险筹资和待遇调整机制，推进社保转移接续，健全灵活就业人员社保制度。</w:t>
      </w:r>
    </w:p>
    <w:p w14:paraId="52E9D62B">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adjustRightInd w:val="0"/>
        <w:snapToGrid w:val="0"/>
        <w:spacing w:line="560" w:lineRule="exact"/>
        <w:ind w:firstLine="562" w:firstLineChars="200"/>
        <w:textAlignment w:val="auto"/>
        <w:outlineLvl w:val="2"/>
        <w:rPr>
          <w:rFonts w:ascii="仿宋_GB2312" w:hAnsi="仿宋_GB2312" w:eastAsia="仿宋_GB2312" w:cs="仿宋_GB2312"/>
          <w:b/>
          <w:color w:val="000000" w:themeColor="text1"/>
          <w:kern w:val="0"/>
          <w:sz w:val="28"/>
          <w:szCs w:val="28"/>
          <w14:textFill>
            <w14:solidFill>
              <w14:schemeClr w14:val="tx1"/>
            </w14:solidFill>
          </w14:textFill>
        </w:rPr>
      </w:pPr>
      <w:bookmarkStart w:id="221" w:name="_Toc63356425"/>
      <w:bookmarkStart w:id="222" w:name="_Toc29944"/>
      <w:bookmarkStart w:id="223" w:name="_Toc3944"/>
      <w:bookmarkStart w:id="224" w:name="_Toc63333021"/>
      <w:bookmarkStart w:id="225" w:name="_Toc32659"/>
      <w:r>
        <w:rPr>
          <w:rFonts w:hint="eastAsia" w:ascii="仿宋_GB2312" w:hAnsi="仿宋_GB2312" w:eastAsia="仿宋_GB2312" w:cs="仿宋_GB2312"/>
          <w:b/>
          <w:color w:val="000000" w:themeColor="text1"/>
          <w:kern w:val="0"/>
          <w:sz w:val="28"/>
          <w:szCs w:val="28"/>
          <w14:textFill>
            <w14:solidFill>
              <w14:schemeClr w14:val="tx1"/>
            </w14:solidFill>
          </w14:textFill>
        </w:rPr>
        <w:t>2.完善社会救助体系</w:t>
      </w:r>
      <w:bookmarkEnd w:id="221"/>
      <w:bookmarkEnd w:id="222"/>
      <w:bookmarkEnd w:id="223"/>
      <w:bookmarkEnd w:id="224"/>
      <w:bookmarkEnd w:id="225"/>
    </w:p>
    <w:p w14:paraId="206924DC">
      <w:pPr>
        <w:keepNext w:val="0"/>
        <w:keepLines w:val="0"/>
        <w:pageBreakBefore w:val="0"/>
        <w:widowControl w:val="0"/>
        <w:pBdr>
          <w:top w:val="none" w:color="000000" w:sz="0" w:space="0"/>
          <w:left w:val="none" w:color="000000" w:sz="0" w:space="0"/>
          <w:bottom w:val="none" w:color="000000" w:sz="0" w:space="23"/>
          <w:right w:val="none" w:color="000000" w:sz="0" w:space="0"/>
        </w:pBdr>
        <w:tabs>
          <w:tab w:val="left" w:pos="0"/>
        </w:tabs>
        <w:kinsoku/>
        <w:wordWrap/>
        <w:overflowPunct/>
        <w:topLinePunct w:val="0"/>
        <w:autoSpaceDE/>
        <w:autoSpaceDN/>
        <w:bidi w:val="0"/>
        <w:adjustRightInd w:val="0"/>
        <w:snapToGrid w:val="0"/>
        <w:spacing w:line="560" w:lineRule="exact"/>
        <w:ind w:firstLine="560" w:firstLineChars="200"/>
        <w:textAlignment w:val="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健全分层分类的社会救助体系。加大动态管理力度。加强农村低保、特困对象与建档立卡贫困人口的有效衔接，及时将符合条件的建档立卡贫困户全部纳入保障范围。对符合条件的重病患者、重度残疾人、困难老人、未成年人等特殊困难群体，及时核查，及时审批，及时纳入保障范围，防止漏保漏救，防止他们滑入贫困人口。为失能、半失能特困人员发放特困人员护理补贴，特困对象死亡的发放特困丧葬费；困难群众发生临时性困难的及时发放临时救助。在原有城乡低保、特困人员的基础上，将低收入家庭中的重度残疾人、重病患者等完全丧失劳动能力和部分丧失劳动能力符合条件的人员，纳入基本生活保障范围。</w:t>
      </w:r>
    </w:p>
    <w:p w14:paraId="2304E99E">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ind w:firstLine="562" w:firstLineChars="200"/>
        <w:textAlignment w:val="auto"/>
        <w:outlineLvl w:val="2"/>
        <w:rPr>
          <w:rFonts w:ascii="仿宋_GB2312" w:hAnsi="仿宋_GB2312" w:eastAsia="仿宋_GB2312" w:cs="仿宋_GB2312"/>
          <w:b/>
          <w:color w:val="000000" w:themeColor="text1"/>
          <w:kern w:val="0"/>
          <w:sz w:val="28"/>
          <w:szCs w:val="28"/>
          <w14:textFill>
            <w14:solidFill>
              <w14:schemeClr w14:val="tx1"/>
            </w14:solidFill>
          </w14:textFill>
        </w:rPr>
      </w:pPr>
      <w:bookmarkStart w:id="226" w:name="_Toc15603"/>
      <w:bookmarkStart w:id="227" w:name="_Toc1829"/>
      <w:bookmarkStart w:id="228" w:name="_Toc63356426"/>
      <w:bookmarkStart w:id="229" w:name="_Toc25351"/>
      <w:bookmarkStart w:id="230" w:name="_Toc63333022"/>
      <w:r>
        <w:rPr>
          <w:rFonts w:hint="eastAsia" w:ascii="仿宋_GB2312" w:hAnsi="仿宋_GB2312" w:eastAsia="仿宋_GB2312" w:cs="仿宋_GB2312"/>
          <w:b/>
          <w:color w:val="000000" w:themeColor="text1"/>
          <w:kern w:val="0"/>
          <w:sz w:val="28"/>
          <w:szCs w:val="28"/>
          <w14:textFill>
            <w14:solidFill>
              <w14:schemeClr w14:val="tx1"/>
            </w14:solidFill>
          </w14:textFill>
        </w:rPr>
        <w:t>3.加大保障性住房建设</w:t>
      </w:r>
      <w:bookmarkEnd w:id="226"/>
      <w:bookmarkEnd w:id="227"/>
      <w:bookmarkEnd w:id="228"/>
      <w:bookmarkEnd w:id="229"/>
      <w:bookmarkEnd w:id="230"/>
    </w:p>
    <w:p w14:paraId="1ED4B343">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ind w:firstLine="560" w:firstLineChars="200"/>
        <w:textAlignment w:val="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充分调动社会资源，灵活采取集中建设、委托代建、社会购买、单位自建、在商品房项目中配建等方式，多渠道筹集保障性住房，提高保障性住房供应能力和水平。加强保障性住房管理，监管配租政策和程序，简化住房保障审批流程，为孤寡病残等困难家庭开辟“绿色通道”，解决低保、低收入困难家庭住房问题。</w:t>
      </w:r>
    </w:p>
    <w:p w14:paraId="57A82F47">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ind w:firstLine="562" w:firstLineChars="200"/>
        <w:textAlignment w:val="auto"/>
        <w:outlineLvl w:val="2"/>
        <w:rPr>
          <w:rFonts w:ascii="仿宋_GB2312" w:hAnsi="仿宋_GB2312" w:eastAsia="仿宋_GB2312" w:cs="仿宋_GB2312"/>
          <w:b/>
          <w:color w:val="000000" w:themeColor="text1"/>
          <w:kern w:val="0"/>
          <w:sz w:val="28"/>
          <w:szCs w:val="28"/>
          <w14:textFill>
            <w14:solidFill>
              <w14:schemeClr w14:val="tx1"/>
            </w14:solidFill>
          </w14:textFill>
        </w:rPr>
      </w:pPr>
      <w:bookmarkStart w:id="231" w:name="_Toc6159"/>
      <w:bookmarkStart w:id="232" w:name="_Toc63333023"/>
      <w:bookmarkStart w:id="233" w:name="_Toc26573"/>
      <w:bookmarkStart w:id="234" w:name="_Toc63356427"/>
      <w:bookmarkStart w:id="235" w:name="_Toc31165"/>
      <w:r>
        <w:rPr>
          <w:rFonts w:hint="eastAsia" w:ascii="仿宋_GB2312" w:hAnsi="仿宋_GB2312" w:eastAsia="仿宋_GB2312" w:cs="仿宋_GB2312"/>
          <w:b/>
          <w:color w:val="000000" w:themeColor="text1"/>
          <w:kern w:val="0"/>
          <w:sz w:val="28"/>
          <w:szCs w:val="28"/>
          <w14:textFill>
            <w14:solidFill>
              <w14:schemeClr w14:val="tx1"/>
            </w14:solidFill>
          </w14:textFill>
        </w:rPr>
        <w:t>4.做好退役军人服务保障工作</w:t>
      </w:r>
      <w:bookmarkEnd w:id="231"/>
      <w:bookmarkEnd w:id="232"/>
      <w:bookmarkEnd w:id="233"/>
      <w:bookmarkEnd w:id="234"/>
      <w:bookmarkEnd w:id="235"/>
    </w:p>
    <w:p w14:paraId="35A46F3A">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ind w:firstLine="562"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Times New Roman" w:hAnsi="Times New Roman" w:eastAsia="仿宋_GB2312" w:cs="Times New Roman"/>
          <w:b/>
          <w:color w:val="000000" w:themeColor="text1"/>
          <w:kern w:val="0"/>
          <w:sz w:val="28"/>
          <w:szCs w:val="28"/>
          <w14:textFill>
            <w14:solidFill>
              <w14:schemeClr w14:val="tx1"/>
            </w14:solidFill>
          </w14:textFill>
        </w:rPr>
        <w:t>一是做好</w:t>
      </w:r>
      <w:r>
        <w:rPr>
          <w:rFonts w:hint="eastAsia" w:ascii="仿宋_GB2312" w:hAnsi="仿宋_GB2312" w:eastAsia="仿宋_GB2312" w:cs="仿宋_GB2312"/>
          <w:b/>
          <w:bCs/>
          <w:color w:val="000000" w:themeColor="text1"/>
          <w:sz w:val="28"/>
          <w:szCs w:val="28"/>
          <w14:textFill>
            <w14:solidFill>
              <w14:schemeClr w14:val="tx1"/>
            </w14:solidFill>
          </w14:textFill>
        </w:rPr>
        <w:t>退役军人保障体系建设</w:t>
      </w:r>
      <w:r>
        <w:rPr>
          <w:rFonts w:hint="eastAsia" w:ascii="仿宋_GB2312" w:hAnsi="仿宋_GB2312" w:eastAsia="仿宋_GB2312" w:cs="仿宋_GB2312"/>
          <w:color w:val="000000" w:themeColor="text1"/>
          <w:sz w:val="28"/>
          <w:szCs w:val="28"/>
          <w14:textFill>
            <w14:solidFill>
              <w14:schemeClr w14:val="tx1"/>
            </w14:solidFill>
          </w14:textFill>
        </w:rPr>
        <w:t>。进一步加强退役军人服务中心（站）的建设，引导基层退役军人服务机构开展退役军人常态化管理工作。</w:t>
      </w:r>
      <w:r>
        <w:rPr>
          <w:rFonts w:hint="eastAsia" w:ascii="仿宋_GB2312" w:hAnsi="仿宋_GB2312" w:eastAsia="仿宋_GB2312" w:cs="仿宋_GB2312"/>
          <w:b/>
          <w:bCs/>
          <w:color w:val="000000" w:themeColor="text1"/>
          <w:sz w:val="28"/>
          <w:szCs w:val="28"/>
          <w14:textFill>
            <w14:solidFill>
              <w14:schemeClr w14:val="tx1"/>
            </w14:solidFill>
          </w14:textFill>
        </w:rPr>
        <w:t>二是做好移交安置工作。</w:t>
      </w:r>
      <w:r>
        <w:rPr>
          <w:rFonts w:hint="eastAsia" w:ascii="仿宋_GB2312" w:hAnsi="仿宋_GB2312" w:eastAsia="仿宋_GB2312" w:cs="仿宋_GB2312"/>
          <w:color w:val="000000" w:themeColor="text1"/>
          <w:sz w:val="28"/>
          <w:szCs w:val="28"/>
          <w14:textFill>
            <w14:solidFill>
              <w14:schemeClr w14:val="tx1"/>
            </w14:solidFill>
          </w14:textFill>
        </w:rPr>
        <w:t>继续推行阳光安置政策，公开透明，进一步提升安置质量。</w:t>
      </w:r>
      <w:r>
        <w:rPr>
          <w:rFonts w:hint="eastAsia" w:ascii="仿宋_GB2312" w:hAnsi="仿宋_GB2312" w:eastAsia="仿宋_GB2312" w:cs="仿宋_GB2312"/>
          <w:b/>
          <w:bCs/>
          <w:color w:val="000000" w:themeColor="text1"/>
          <w:sz w:val="28"/>
          <w:szCs w:val="28"/>
          <w14:textFill>
            <w14:solidFill>
              <w14:schemeClr w14:val="tx1"/>
            </w14:solidFill>
          </w14:textFill>
        </w:rPr>
        <w:t>三是做好就业创业工作</w:t>
      </w:r>
      <w:r>
        <w:rPr>
          <w:rFonts w:hint="eastAsia" w:ascii="仿宋_GB2312" w:hAnsi="仿宋_GB2312" w:eastAsia="仿宋_GB2312" w:cs="仿宋_GB2312"/>
          <w:color w:val="000000" w:themeColor="text1"/>
          <w:sz w:val="28"/>
          <w:szCs w:val="28"/>
          <w14:textFill>
            <w14:solidFill>
              <w14:schemeClr w14:val="tx1"/>
            </w14:solidFill>
          </w14:textFill>
        </w:rPr>
        <w:t>。继续推进退役军人就业需求、用人单位岗位需求、社会经济发展趋势等“三本台账”建设。加强退役军人适应性培训、职业技能培训，学历教育等工作，稳定提升退役军人就业竞争力。</w:t>
      </w:r>
      <w:r>
        <w:rPr>
          <w:rFonts w:hint="eastAsia" w:ascii="仿宋_GB2312" w:hAnsi="仿宋_GB2312" w:eastAsia="仿宋_GB2312" w:cs="仿宋_GB2312"/>
          <w:b/>
          <w:bCs/>
          <w:color w:val="000000" w:themeColor="text1"/>
          <w:sz w:val="28"/>
          <w:szCs w:val="28"/>
          <w14:textFill>
            <w14:solidFill>
              <w14:schemeClr w14:val="tx1"/>
            </w14:solidFill>
          </w14:textFill>
        </w:rPr>
        <w:t>四是做好双拥共建工作</w:t>
      </w:r>
      <w:r>
        <w:rPr>
          <w:rFonts w:hint="eastAsia" w:ascii="仿宋_GB2312" w:hAnsi="仿宋_GB2312" w:eastAsia="仿宋_GB2312" w:cs="仿宋_GB2312"/>
          <w:color w:val="000000" w:themeColor="text1"/>
          <w:sz w:val="28"/>
          <w:szCs w:val="28"/>
          <w14:textFill>
            <w14:solidFill>
              <w14:schemeClr w14:val="tx1"/>
            </w14:solidFill>
          </w14:textFill>
        </w:rPr>
        <w:t>。对优抚对象按时足额发放抚恤金、生活补助等资金，帮助重点优抚对象报销医疗费；加强双拥和军地建设，发挥关爱退役军人基金会、爱国拥军联合会以及就业促进会的作用。</w:t>
      </w:r>
      <w:r>
        <w:rPr>
          <w:rFonts w:hint="eastAsia" w:ascii="仿宋_GB2312" w:hAnsi="仿宋_GB2312" w:eastAsia="仿宋_GB2312" w:cs="仿宋_GB2312"/>
          <w:b/>
          <w:bCs/>
          <w:color w:val="000000" w:themeColor="text1"/>
          <w:sz w:val="28"/>
          <w:szCs w:val="28"/>
          <w14:textFill>
            <w14:solidFill>
              <w14:schemeClr w14:val="tx1"/>
            </w14:solidFill>
          </w14:textFill>
        </w:rPr>
        <w:t>五是做好烈士褒扬工作</w:t>
      </w:r>
      <w:r>
        <w:rPr>
          <w:rFonts w:hint="eastAsia" w:ascii="仿宋_GB2312" w:hAnsi="仿宋_GB2312" w:eastAsia="仿宋_GB2312" w:cs="仿宋_GB2312"/>
          <w:color w:val="000000" w:themeColor="text1"/>
          <w:sz w:val="28"/>
          <w:szCs w:val="28"/>
          <w14:textFill>
            <w14:solidFill>
              <w14:schemeClr w14:val="tx1"/>
            </w14:solidFill>
          </w14:textFill>
        </w:rPr>
        <w:t>。对县烈士陵园进行基础设施修缮，提升完善服务功能；在全社会营造缅怀英烈、弘扬英烈精神的浓厚氛围。</w:t>
      </w:r>
      <w:bookmarkStart w:id="236" w:name="_Toc31737"/>
    </w:p>
    <w:p w14:paraId="638FA7A4">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ind w:firstLine="560" w:firstLineChars="200"/>
        <w:textAlignment w:val="auto"/>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ascii="楷体_GB2312" w:hAnsi="楷体_GB2312" w:eastAsia="楷体_GB2312" w:cs="楷体_GB2312"/>
          <w:b w:val="0"/>
          <w:bCs/>
          <w:color w:val="000000" w:themeColor="text1"/>
          <w:sz w:val="28"/>
          <w:szCs w:val="28"/>
          <w:lang w:eastAsia="zh-CN"/>
          <w14:textFill>
            <w14:solidFill>
              <w14:schemeClr w14:val="tx1"/>
            </w14:solidFill>
          </w14:textFill>
        </w:rPr>
        <w:t>（五）</w:t>
      </w:r>
      <w:r>
        <w:rPr>
          <w:rFonts w:hint="eastAsia" w:ascii="楷体_GB2312" w:hAnsi="楷体_GB2312" w:eastAsia="楷体_GB2312" w:cs="楷体_GB2312"/>
          <w:b w:val="0"/>
          <w:bCs/>
          <w:color w:val="000000" w:themeColor="text1"/>
          <w:sz w:val="28"/>
          <w:szCs w:val="28"/>
          <w14:textFill>
            <w14:solidFill>
              <w14:schemeClr w14:val="tx1"/>
            </w14:solidFill>
          </w14:textFill>
        </w:rPr>
        <w:t>办好人民满意教育</w:t>
      </w:r>
      <w:bookmarkEnd w:id="236"/>
    </w:p>
    <w:p w14:paraId="52795C67">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ind w:firstLine="560" w:firstLineChars="200"/>
        <w:textAlignment w:val="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全面贯彻党的教育方针，围绕“凝聚人心、完善人格、开发人力、培育人才、造福人民”总目标，紧密结合清河经济社会发展需要和教育实际，落实立德树人根本任务，坚持德育为先，五育并举，进一步创新体制机制，健全保障体系，提升发展水平，推进教育事业科学发展。</w:t>
      </w:r>
    </w:p>
    <w:p w14:paraId="2C329445">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ind w:firstLine="562" w:firstLineChars="200"/>
        <w:textAlignment w:val="auto"/>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1.学前教育普惠发展</w:t>
      </w:r>
    </w:p>
    <w:p w14:paraId="73EFCBD8">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ind w:firstLine="560" w:firstLineChars="200"/>
        <w:textAlignment w:val="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科学制定幼儿园布局规划，优化布局、完善结构。新建改扩建一批公办园。落实《清河县城区住宅区配套幼儿园小学建设管理办法》，切实把普惠性幼儿园建设纳入城乡公共管理和公共服务设施规划，每个</w:t>
      </w:r>
      <w:r>
        <w:rPr>
          <w:rFonts w:hint="eastAsia" w:ascii="仿宋_GB2312" w:hAnsi="仿宋_GB2312" w:eastAsia="仿宋_GB2312" w:cs="仿宋_GB2312"/>
          <w:color w:val="000000" w:themeColor="text1"/>
          <w:sz w:val="28"/>
          <w:szCs w:val="28"/>
          <w:lang w:eastAsia="zh-CN"/>
          <w14:textFill>
            <w14:solidFill>
              <w14:schemeClr w14:val="tx1"/>
            </w14:solidFill>
          </w14:textFill>
        </w:rPr>
        <w:t>镇</w:t>
      </w:r>
      <w:r>
        <w:rPr>
          <w:rFonts w:hint="eastAsia" w:ascii="仿宋_GB2312" w:hAnsi="仿宋_GB2312" w:eastAsia="仿宋_GB2312" w:cs="仿宋_GB2312"/>
          <w:color w:val="000000" w:themeColor="text1"/>
          <w:sz w:val="28"/>
          <w:szCs w:val="28"/>
          <w14:textFill>
            <w14:solidFill>
              <w14:schemeClr w14:val="tx1"/>
            </w14:solidFill>
          </w14:textFill>
        </w:rPr>
        <w:t>原则上至少办好一所公办中心园，大村独立建园或设分园，小村联合办园。</w:t>
      </w:r>
    </w:p>
    <w:p w14:paraId="48CFEB4D">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ind w:firstLine="560" w:firstLineChars="200"/>
        <w:textAlignment w:val="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到2025年，广覆盖、保基本、有质量的学前教育公共服务体系基本建成，学前教育管理体制、办园体制和政策保障体系基本完善。普惠性幼儿园覆盖率（公办园和普惠性民办园在园幼儿占比）达到80%以上，公办园在园幼儿占比达到50%，幼儿学前三年毛入园率达到96%以上。</w:t>
      </w:r>
    </w:p>
    <w:p w14:paraId="00AB23C9">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ind w:firstLine="562" w:firstLineChars="200"/>
        <w:textAlignment w:val="auto"/>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2.义务教育优质均衡发展</w:t>
      </w:r>
    </w:p>
    <w:p w14:paraId="437B57BD">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ind w:firstLine="560" w:firstLineChars="200"/>
        <w:textAlignment w:val="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四五”期间，基本形成义务教育优质均衡发展新态势。推进城乡义务教育一体化改革发展，发挥优质学校示范辐射作用，完善强校带弱校、城乡对口支援等办学机制，实行县域内校长和教师定期合理流动，切实缩小城乡、区域、校际之间义务教育发展差距；持续加强城区学校及新建小区住宅区配套学校建设，新建2-3所城区公办小学，新建1所公办初级中学，挖掘中心城区教育资源潜力，补足新增加的义务教育学位缺口，消除大校额大班额；实施农村薄弱学校提升工程。按照优质均衡标准，提升改造中小学校体育场馆，补充更新教学仪器图书设备，加强中小学骨干师资梯队建设，补充中小学体育、艺术（美术、音乐）教师等。</w:t>
      </w:r>
    </w:p>
    <w:p w14:paraId="27685F98">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ind w:firstLine="562" w:firstLineChars="200"/>
        <w:textAlignment w:val="auto"/>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3.高中教育振兴发展</w:t>
      </w:r>
    </w:p>
    <w:p w14:paraId="58CB397E">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ind w:firstLine="562" w:firstLineChars="200"/>
        <w:textAlignment w:val="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扩充普通高中教育资源。</w:t>
      </w:r>
      <w:r>
        <w:rPr>
          <w:rFonts w:hint="eastAsia" w:ascii="仿宋_GB2312" w:hAnsi="仿宋_GB2312" w:eastAsia="仿宋_GB2312" w:cs="仿宋_GB2312"/>
          <w:color w:val="000000" w:themeColor="text1"/>
          <w:sz w:val="28"/>
          <w:szCs w:val="28"/>
          <w14:textFill>
            <w14:solidFill>
              <w14:schemeClr w14:val="tx1"/>
            </w14:solidFill>
          </w14:textFill>
        </w:rPr>
        <w:t>巩固普及高中阶段教育成果，优化高中阶段教育结构，保持普通高中与中等职业学校招生规模大体相当。新建1所省级示范性高中学校，使我县省级示范性高中学校不低于2所。积极支持兴办以艺术、体育等为特色的高中学校，探索综合高中发展模式，为学生发展提供多元选择的机会。抓住京津冀协同发展契机，加强与外地优质高中学校交流合作。</w:t>
      </w:r>
      <w:r>
        <w:rPr>
          <w:rFonts w:hint="eastAsia" w:ascii="仿宋_GB2312" w:hAnsi="仿宋_GB2312" w:eastAsia="仿宋_GB2312" w:cs="仿宋_GB2312"/>
          <w:b/>
          <w:color w:val="000000" w:themeColor="text1"/>
          <w:sz w:val="28"/>
          <w:szCs w:val="28"/>
          <w14:textFill>
            <w14:solidFill>
              <w14:schemeClr w14:val="tx1"/>
            </w14:solidFill>
          </w14:textFill>
        </w:rPr>
        <w:t>提升教育质量。</w:t>
      </w:r>
      <w:r>
        <w:rPr>
          <w:rFonts w:hint="eastAsia" w:ascii="仿宋_GB2312" w:hAnsi="仿宋_GB2312" w:eastAsia="仿宋_GB2312" w:cs="仿宋_GB2312"/>
          <w:color w:val="000000" w:themeColor="text1"/>
          <w:sz w:val="28"/>
          <w:szCs w:val="28"/>
          <w14:textFill>
            <w14:solidFill>
              <w14:schemeClr w14:val="tx1"/>
            </w14:solidFill>
          </w14:textFill>
        </w:rPr>
        <w:t>推进育人方式改革，使学生全面而有个性</w:t>
      </w:r>
      <w:r>
        <w:rPr>
          <w:rFonts w:hint="eastAsia" w:ascii="仿宋_GB2312" w:hAnsi="仿宋_GB2312" w:eastAsia="仿宋_GB2312" w:cs="仿宋_GB2312"/>
          <w:color w:val="000000" w:themeColor="text1"/>
          <w:spacing w:val="-6"/>
          <w:sz w:val="28"/>
          <w:szCs w:val="28"/>
          <w14:textFill>
            <w14:solidFill>
              <w14:schemeClr w14:val="tx1"/>
            </w14:solidFill>
          </w14:textFill>
        </w:rPr>
        <w:t>地发展。主动适应新高考改革，完善选课走班教学管理机制。鼓励学校根据各自特点，形成富有特色的多样化办学模式，满足不同潜质学生发展需要。</w:t>
      </w:r>
    </w:p>
    <w:p w14:paraId="500D8494">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ind w:firstLine="562" w:firstLineChars="200"/>
        <w:textAlignment w:val="auto"/>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4.职业教育特色发展</w:t>
      </w:r>
    </w:p>
    <w:p w14:paraId="7226C83C">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立足服务本地经济产业升级发展、促进劳动力就业、提高劳动力专业水平，促进产教深度融合，加大财政投入，推进校企合作，构建现代职业教育体系。</w:t>
      </w:r>
      <w:r>
        <w:rPr>
          <w:rFonts w:hint="eastAsia" w:ascii="仿宋_GB2312" w:hAnsi="仿宋_GB2312" w:eastAsia="仿宋_GB2312" w:cs="仿宋_GB2312"/>
          <w:b/>
          <w:color w:val="000000" w:themeColor="text1"/>
          <w:sz w:val="28"/>
          <w:szCs w:val="28"/>
          <w14:textFill>
            <w14:solidFill>
              <w14:schemeClr w14:val="tx1"/>
            </w14:solidFill>
          </w14:textFill>
        </w:rPr>
        <w:t>扩大规模。</w:t>
      </w:r>
      <w:r>
        <w:rPr>
          <w:rFonts w:hint="eastAsia" w:ascii="仿宋_GB2312" w:hAnsi="仿宋_GB2312" w:eastAsia="仿宋_GB2312" w:cs="仿宋_GB2312"/>
          <w:color w:val="000000" w:themeColor="text1"/>
          <w:sz w:val="28"/>
          <w:szCs w:val="28"/>
          <w14:textFill>
            <w14:solidFill>
              <w14:schemeClr w14:val="tx1"/>
            </w14:solidFill>
          </w14:textFill>
        </w:rPr>
        <w:t>落实上级要求，适当扩大职业教育规模，优化职业教育资源，完善支持政策，加大财政投入，谋划建设县职教中心宿舍楼、实训综合楼等设施，提升承载力，满足生源迅速增加的需要，到“十四五”末将承载规模标准提升至3000人。</w:t>
      </w:r>
      <w:r>
        <w:rPr>
          <w:rFonts w:hint="eastAsia" w:ascii="仿宋_GB2312" w:hAnsi="仿宋_GB2312" w:eastAsia="仿宋_GB2312" w:cs="仿宋_GB2312"/>
          <w:b/>
          <w:color w:val="000000" w:themeColor="text1"/>
          <w:sz w:val="28"/>
          <w:szCs w:val="28"/>
          <w14:textFill>
            <w14:solidFill>
              <w14:schemeClr w14:val="tx1"/>
            </w14:solidFill>
          </w14:textFill>
        </w:rPr>
        <w:t>优化资源。</w:t>
      </w:r>
      <w:r>
        <w:rPr>
          <w:rFonts w:hint="eastAsia" w:ascii="仿宋_GB2312" w:hAnsi="仿宋_GB2312" w:eastAsia="仿宋_GB2312" w:cs="仿宋_GB2312"/>
          <w:color w:val="000000" w:themeColor="text1"/>
          <w:sz w:val="28"/>
          <w:szCs w:val="28"/>
          <w14:textFill>
            <w14:solidFill>
              <w14:schemeClr w14:val="tx1"/>
            </w14:solidFill>
          </w14:textFill>
        </w:rPr>
        <w:t>优化专业结构，根据县域经济社会发展需要和劳动力市场需求实际，合理调整专业设置，增设跨境电商、新能源汽车维修和维护、电梯安装与维修等专业。</w:t>
      </w:r>
      <w:r>
        <w:rPr>
          <w:rFonts w:hint="eastAsia" w:ascii="仿宋_GB2312" w:hAnsi="仿宋_GB2312" w:eastAsia="仿宋_GB2312" w:cs="仿宋_GB2312"/>
          <w:b/>
          <w:color w:val="000000" w:themeColor="text1"/>
          <w:sz w:val="28"/>
          <w:szCs w:val="28"/>
          <w14:textFill>
            <w14:solidFill>
              <w14:schemeClr w14:val="tx1"/>
            </w14:solidFill>
          </w14:textFill>
        </w:rPr>
        <w:t>强化师资。</w:t>
      </w:r>
      <w:r>
        <w:rPr>
          <w:rFonts w:hint="eastAsia" w:ascii="仿宋_GB2312" w:hAnsi="仿宋_GB2312" w:eastAsia="仿宋_GB2312" w:cs="仿宋_GB2312"/>
          <w:color w:val="000000" w:themeColor="text1"/>
          <w:sz w:val="28"/>
          <w:szCs w:val="28"/>
          <w14:textFill>
            <w14:solidFill>
              <w14:schemeClr w14:val="tx1"/>
            </w14:solidFill>
          </w14:textFill>
        </w:rPr>
        <w:t>加强“双师型”教师队伍建设，招聘中职专业教师；建立教师与企业高技能人才交流制度，鼓励专业课教师参加国家、省级骨干教师培训和下企业锻炼。</w:t>
      </w:r>
      <w:r>
        <w:rPr>
          <w:rFonts w:hint="eastAsia" w:ascii="仿宋_GB2312" w:hAnsi="仿宋_GB2312" w:eastAsia="仿宋_GB2312" w:cs="仿宋_GB2312"/>
          <w:b/>
          <w:color w:val="000000" w:themeColor="text1"/>
          <w:sz w:val="28"/>
          <w:szCs w:val="28"/>
          <w14:textFill>
            <w14:solidFill>
              <w14:schemeClr w14:val="tx1"/>
            </w14:solidFill>
          </w14:textFill>
        </w:rPr>
        <w:t>提高</w:t>
      </w: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层次</w:t>
      </w:r>
      <w:r>
        <w:rPr>
          <w:rFonts w:hint="eastAsia" w:ascii="仿宋_GB2312" w:hAnsi="仿宋_GB2312" w:eastAsia="仿宋_GB2312" w:cs="仿宋_GB2312"/>
          <w:b/>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探索现代职业教育的办学模式，深化校企合作、产教融合；继续探索与高职院校联合办学模式，争取“十四五”期间，以联合办学等方式建成1所高等职业院校。</w:t>
      </w:r>
      <w:bookmarkStart w:id="237" w:name="_Toc20265"/>
    </w:p>
    <w:p w14:paraId="2681E240">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ind w:firstLine="560" w:firstLineChars="200"/>
        <w:textAlignment w:val="auto"/>
        <w:rPr>
          <w:rFonts w:hint="eastAsia" w:ascii="楷体_GB2312" w:hAnsi="楷体_GB2312" w:eastAsia="楷体_GB2312" w:cs="楷体_GB2312"/>
          <w:b w:val="0"/>
          <w:bCs/>
          <w:color w:val="000000" w:themeColor="text1"/>
          <w:sz w:val="28"/>
          <w:szCs w:val="28"/>
          <w:lang w:eastAsia="zh-CN"/>
          <w14:textFill>
            <w14:solidFill>
              <w14:schemeClr w14:val="tx1"/>
            </w14:solidFill>
          </w14:textFill>
        </w:rPr>
      </w:pPr>
    </w:p>
    <w:p w14:paraId="7A380921">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ind w:firstLine="560" w:firstLineChars="200"/>
        <w:textAlignment w:val="auto"/>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ascii="楷体_GB2312" w:hAnsi="楷体_GB2312" w:eastAsia="楷体_GB2312" w:cs="楷体_GB2312"/>
          <w:b w:val="0"/>
          <w:bCs/>
          <w:color w:val="000000" w:themeColor="text1"/>
          <w:sz w:val="28"/>
          <w:szCs w:val="28"/>
          <w:lang w:eastAsia="zh-CN"/>
          <w14:textFill>
            <w14:solidFill>
              <w14:schemeClr w14:val="tx1"/>
            </w14:solidFill>
          </w14:textFill>
        </w:rPr>
        <w:t>（六）</w:t>
      </w:r>
      <w:r>
        <w:rPr>
          <w:rFonts w:hint="eastAsia" w:ascii="楷体_GB2312" w:hAnsi="楷体_GB2312" w:eastAsia="楷体_GB2312" w:cs="楷体_GB2312"/>
          <w:b w:val="0"/>
          <w:bCs/>
          <w:color w:val="000000" w:themeColor="text1"/>
          <w:sz w:val="28"/>
          <w:szCs w:val="28"/>
          <w14:textFill>
            <w14:solidFill>
              <w14:schemeClr w14:val="tx1"/>
            </w14:solidFill>
          </w14:textFill>
        </w:rPr>
        <w:t>持续繁荣文化事业</w:t>
      </w:r>
      <w:bookmarkEnd w:id="237"/>
    </w:p>
    <w:p w14:paraId="34551A83">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ind w:firstLine="562" w:firstLineChars="200"/>
        <w:textAlignment w:val="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完善公共文化服务体系。</w:t>
      </w:r>
      <w:r>
        <w:rPr>
          <w:rFonts w:hint="eastAsia" w:ascii="仿宋_GB2312" w:hAnsi="仿宋_GB2312" w:eastAsia="仿宋_GB2312" w:cs="仿宋_GB2312"/>
          <w:bCs/>
          <w:color w:val="000000" w:themeColor="text1"/>
          <w:kern w:val="0"/>
          <w:sz w:val="28"/>
          <w:szCs w:val="28"/>
          <w14:textFill>
            <w14:solidFill>
              <w14:schemeClr w14:val="tx1"/>
            </w14:solidFill>
          </w14:textFill>
        </w:rPr>
        <w:t>按照城乡</w:t>
      </w:r>
      <w:r>
        <w:rPr>
          <w:rFonts w:hint="eastAsia" w:ascii="仿宋_GB2312" w:hAnsi="仿宋_GB2312" w:eastAsia="仿宋_GB2312" w:cs="仿宋_GB2312"/>
          <w:color w:val="000000" w:themeColor="text1"/>
          <w:sz w:val="28"/>
          <w:szCs w:val="28"/>
          <w14:textFill>
            <w14:solidFill>
              <w14:schemeClr w14:val="tx1"/>
            </w14:solidFill>
          </w14:textFill>
        </w:rPr>
        <w:t>统筹、服务均等、共建共享、惠民乐民的思路，从基础设施、文化服务以及体制机制建设等方面入手，推进公共文化设施全覆盖，完善公共文化服务体系。</w:t>
      </w:r>
    </w:p>
    <w:p w14:paraId="5A983066">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ind w:firstLine="562" w:firstLineChars="200"/>
        <w:textAlignment w:val="auto"/>
        <w:rPr>
          <w:rFonts w:ascii="仿宋_GB2312" w:hAnsi="仿宋_GB2312" w:eastAsia="仿宋_GB2312" w:cs="仿宋_GB2312"/>
          <w:color w:val="000000" w:themeColor="text1"/>
          <w:sz w:val="28"/>
          <w:szCs w:val="28"/>
          <w14:textFill>
            <w14:solidFill>
              <w14:schemeClr w14:val="tx1"/>
            </w14:solidFill>
          </w14:textFill>
        </w:rPr>
      </w:pPr>
      <w:r>
        <w:rPr>
          <w:rFonts w:hint="eastAsia" w:ascii="Times New Roman" w:hAnsi="Times New Roman" w:eastAsia="仿宋_GB2312" w:cs="Times New Roman"/>
          <w:b/>
          <w:color w:val="000000" w:themeColor="text1"/>
          <w:kern w:val="0"/>
          <w:sz w:val="28"/>
          <w:szCs w:val="28"/>
          <w:lang w:val="en-US" w:eastAsia="zh-CN"/>
          <w14:textFill>
            <w14:solidFill>
              <w14:schemeClr w14:val="tx1"/>
            </w14:solidFill>
          </w14:textFill>
        </w:rPr>
        <w:t>加强地方文化传承。</w:t>
      </w:r>
      <w:r>
        <w:rPr>
          <w:rFonts w:hint="eastAsia" w:ascii="Times New Roman" w:hAnsi="Times New Roman" w:eastAsia="仿宋_GB2312" w:cs="Times New Roman"/>
          <w:b/>
          <w:color w:val="000000" w:themeColor="text1"/>
          <w:kern w:val="0"/>
          <w:sz w:val="28"/>
          <w:szCs w:val="28"/>
          <w14:textFill>
            <w14:solidFill>
              <w14:schemeClr w14:val="tx1"/>
            </w14:solidFill>
          </w14:textFill>
        </w:rPr>
        <w:t>做好大运河文化挖掘保护</w:t>
      </w:r>
      <w:r>
        <w:rPr>
          <w:rFonts w:hint="eastAsia" w:ascii="Times New Roman" w:hAnsi="Times New Roman" w:eastAsia="仿宋_GB2312" w:cs="Times New Roman"/>
          <w:bCs/>
          <w:color w:val="000000" w:themeColor="text1"/>
          <w:kern w:val="0"/>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大力开展大运河清河县段物质文化遗产普查工作，划定各类遗产保护优先序列；依托大运河综合文化长廊项目，谋划建设多层次、全方位文化展示体系。</w:t>
      </w:r>
      <w:r>
        <w:rPr>
          <w:rFonts w:hint="eastAsia" w:ascii="Times New Roman" w:hAnsi="Times New Roman" w:eastAsia="仿宋_GB2312" w:cs="Times New Roman"/>
          <w:b/>
          <w:color w:val="000000" w:themeColor="text1"/>
          <w:kern w:val="0"/>
          <w:sz w:val="28"/>
          <w:szCs w:val="28"/>
          <w14:textFill>
            <w14:solidFill>
              <w14:schemeClr w14:val="tx1"/>
            </w14:solidFill>
          </w14:textFill>
        </w:rPr>
        <w:t>做好非物质文化遗产传承保护。</w:t>
      </w:r>
      <w:r>
        <w:rPr>
          <w:rFonts w:hint="eastAsia" w:ascii="Times New Roman" w:hAnsi="Times New Roman" w:eastAsia="仿宋_GB2312" w:cs="Times New Roman"/>
          <w:bCs/>
          <w:color w:val="000000" w:themeColor="text1"/>
          <w:kern w:val="0"/>
          <w:sz w:val="28"/>
          <w:szCs w:val="28"/>
          <w14:textFill>
            <w14:solidFill>
              <w14:schemeClr w14:val="tx1"/>
            </w14:solidFill>
          </w14:textFill>
        </w:rPr>
        <w:t>建立清河县非物质</w:t>
      </w:r>
      <w:r>
        <w:rPr>
          <w:rFonts w:hint="eastAsia" w:ascii="仿宋_GB2312" w:hAnsi="仿宋_GB2312" w:eastAsia="仿宋_GB2312" w:cs="仿宋_GB2312"/>
          <w:color w:val="000000" w:themeColor="text1"/>
          <w:sz w:val="28"/>
          <w:szCs w:val="28"/>
          <w14:textFill>
            <w14:solidFill>
              <w14:schemeClr w14:val="tx1"/>
            </w14:solidFill>
          </w14:textFill>
        </w:rPr>
        <w:t>文化遗产保护名录、数据库，设立非物质文化遗产传习所和展览展示场所</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推动清河文化元素进社区、进校园、进企业，</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使</w:t>
      </w:r>
      <w:r>
        <w:rPr>
          <w:rFonts w:hint="eastAsia" w:ascii="仿宋_GB2312" w:hAnsi="仿宋_GB2312" w:eastAsia="仿宋_GB2312" w:cs="仿宋_GB2312"/>
          <w:color w:val="000000" w:themeColor="text1"/>
          <w:sz w:val="28"/>
          <w:szCs w:val="28"/>
          <w14:textFill>
            <w14:solidFill>
              <w14:schemeClr w14:val="tx1"/>
            </w14:solidFill>
          </w14:textFill>
        </w:rPr>
        <w:t>运河文化活起来。</w:t>
      </w:r>
    </w:p>
    <w:p w14:paraId="2E3F79C9">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ind w:firstLine="562" w:firstLineChars="200"/>
        <w:textAlignment w:val="auto"/>
        <w:rPr>
          <w:rFonts w:ascii="仿宋_GB2312" w:hAnsi="仿宋_GB2312" w:eastAsia="仿宋_GB2312" w:cs="仿宋_GB2312"/>
          <w:bCs/>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丰富文化活动。</w:t>
      </w:r>
      <w:r>
        <w:rPr>
          <w:rFonts w:hint="eastAsia" w:ascii="仿宋_GB2312" w:hAnsi="仿宋_GB2312" w:eastAsia="仿宋_GB2312" w:cs="仿宋_GB2312"/>
          <w:bCs/>
          <w:color w:val="000000" w:themeColor="text1"/>
          <w:kern w:val="0"/>
          <w:sz w:val="28"/>
          <w:szCs w:val="28"/>
          <w14:textFill>
            <w14:solidFill>
              <w14:schemeClr w14:val="tx1"/>
            </w14:solidFill>
          </w14:textFill>
        </w:rPr>
        <w:t>围绕庆祝建党100周年主题，抓好文艺创作及系列主题活动。巩固省级公共文化服务体系示范区创建成果，充分整合文化资源，创新与丰富文化形式，多层次、全方位、多样化的为群众提供文化活动，持续抓好“一月一剧”公益助演、文化直通车等文化活动，争取举办全市乃至全省范围内的文艺展赛活动，不断丰富群众精神文化生活。</w:t>
      </w:r>
    </w:p>
    <w:p w14:paraId="7CBB422C">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ind w:firstLine="562"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发展县域融媒体。</w:t>
      </w:r>
      <w:r>
        <w:rPr>
          <w:rFonts w:hint="eastAsia" w:ascii="仿宋_GB2312" w:hAnsi="仿宋_GB2312" w:eastAsia="仿宋_GB2312" w:cs="仿宋_GB2312"/>
          <w:color w:val="000000" w:themeColor="text1"/>
          <w:sz w:val="28"/>
          <w:szCs w:val="28"/>
          <w14:textFill>
            <w14:solidFill>
              <w14:schemeClr w14:val="tx1"/>
            </w14:solidFill>
          </w14:textFill>
        </w:rPr>
        <w:t>推进媒体深度融合发展，构建县域全媒体传播体系，增强主流媒体传播力、引导力、影响力、公信力。按照“一次采集、多种生成、多元传播、全面覆盖”的思路，整合县级广播电视、新媒体等资源，搭建传播内容、形式、载体多元化的融合传播体系，开展媒体服务、党建服务、政务服务、公共服务、增值服务等业务的基层融媒体平台。</w:t>
      </w:r>
      <w:bookmarkStart w:id="238" w:name="_Toc259"/>
    </w:p>
    <w:p w14:paraId="69130092">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ind w:firstLine="560" w:firstLineChars="200"/>
        <w:textAlignment w:val="auto"/>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ascii="楷体_GB2312" w:hAnsi="楷体_GB2312" w:eastAsia="楷体_GB2312" w:cs="楷体_GB2312"/>
          <w:b w:val="0"/>
          <w:bCs/>
          <w:color w:val="000000" w:themeColor="text1"/>
          <w:sz w:val="28"/>
          <w:szCs w:val="28"/>
          <w:lang w:eastAsia="zh-CN"/>
          <w14:textFill>
            <w14:solidFill>
              <w14:schemeClr w14:val="tx1"/>
            </w14:solidFill>
          </w14:textFill>
        </w:rPr>
        <w:t>（七）</w:t>
      </w:r>
      <w:r>
        <w:rPr>
          <w:rFonts w:hint="eastAsia" w:ascii="楷体_GB2312" w:hAnsi="楷体_GB2312" w:eastAsia="楷体_GB2312" w:cs="楷体_GB2312"/>
          <w:b w:val="0"/>
          <w:bCs/>
          <w:color w:val="000000" w:themeColor="text1"/>
          <w:sz w:val="28"/>
          <w:szCs w:val="28"/>
          <w14:textFill>
            <w14:solidFill>
              <w14:schemeClr w14:val="tx1"/>
            </w14:solidFill>
          </w14:textFill>
        </w:rPr>
        <w:t>加快健康清河建设</w:t>
      </w:r>
      <w:bookmarkEnd w:id="238"/>
    </w:p>
    <w:p w14:paraId="23B9C569">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ind w:firstLine="560" w:firstLineChars="200"/>
        <w:textAlignment w:val="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把人民健康放在优先发展的战略位置，深入实施健康清河行动，全方位全周期保障人民健康</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将清河县打造冀东南区域医疗中心和康养高地。到“十四五”末，每千人口执业（助理）医师数≥3人，每千人口注册护士数≥3.4人，每万人口全科医生数2-3人。全县人均预期寿命&gt;78.5岁，居民健康素养水平达到30%，心脑血管疾病等慢性病过早死亡率比2020年降低8%。</w:t>
      </w:r>
    </w:p>
    <w:p w14:paraId="65E301C3">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ind w:firstLine="562" w:firstLineChars="200"/>
        <w:textAlignment w:val="auto"/>
        <w:rPr>
          <w:rFonts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1.优化健康环境</w:t>
      </w:r>
    </w:p>
    <w:p w14:paraId="1EDBFDBE">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ind w:firstLine="560" w:firstLineChars="200"/>
        <w:textAlignment w:val="auto"/>
        <w:rPr>
          <w:rFonts w:ascii="仿宋_GB2312" w:hAnsi="仿宋_GB2312" w:eastAsia="仿宋_GB2312" w:cs="仿宋_GB2312"/>
          <w:bCs/>
          <w:color w:val="000000" w:themeColor="text1"/>
          <w:kern w:val="0"/>
          <w:sz w:val="28"/>
          <w:szCs w:val="28"/>
          <w14:textFill>
            <w14:solidFill>
              <w14:schemeClr w14:val="tx1"/>
            </w14:solidFill>
          </w14:textFill>
        </w:rPr>
      </w:pPr>
      <w:r>
        <w:rPr>
          <w:rFonts w:hint="eastAsia" w:ascii="仿宋_GB2312" w:hAnsi="仿宋_GB2312" w:eastAsia="仿宋_GB2312" w:cs="仿宋_GB2312"/>
          <w:bCs/>
          <w:color w:val="000000" w:themeColor="text1"/>
          <w:kern w:val="0"/>
          <w:sz w:val="28"/>
          <w:szCs w:val="28"/>
          <w14:textFill>
            <w14:solidFill>
              <w14:schemeClr w14:val="tx1"/>
            </w14:solidFill>
          </w14:textFill>
        </w:rPr>
        <w:t>以健康中国行动为指引，发挥爱国卫生运</w:t>
      </w:r>
      <w:r>
        <w:rPr>
          <w:rFonts w:hint="eastAsia" w:ascii="仿宋_GB2312" w:hAnsi="仿宋_GB2312" w:eastAsia="仿宋_GB2312" w:cs="仿宋_GB2312"/>
          <w:color w:val="000000" w:themeColor="text1"/>
          <w:sz w:val="28"/>
          <w:szCs w:val="28"/>
          <w14:textFill>
            <w14:solidFill>
              <w14:schemeClr w14:val="tx1"/>
            </w14:solidFill>
          </w14:textFill>
        </w:rPr>
        <w:t>动的组织优势，全社会动员，把健康融入城乡规划建设和治理的全过程，建立人居环境与健康风险评估制度，全面优化健康环境，提升全人群健康水平。一要开展健康家庭、健康乡村、健康机关、健康企业、健康学校等“健康细胞”创建工作；二要针对重大疾病和一些突出问题，聚焦重点人群，实施15个健康行动，建立健全健康教育体系；三要全面整合资源，成立健康清河建设指导中心，打造清河健康云，开展全人群系统健康管理。尤其要加强慢性病管理，打造具有清河特色的慢</w:t>
      </w:r>
      <w:r>
        <w:rPr>
          <w:rFonts w:hint="eastAsia" w:ascii="仿宋_GB2312" w:hAnsi="仿宋_GB2312" w:eastAsia="仿宋_GB2312" w:cs="仿宋_GB2312"/>
          <w:bCs/>
          <w:color w:val="000000" w:themeColor="text1"/>
          <w:kern w:val="0"/>
          <w:sz w:val="28"/>
          <w:szCs w:val="28"/>
          <w14:textFill>
            <w14:solidFill>
              <w14:schemeClr w14:val="tx1"/>
            </w14:solidFill>
          </w14:textFill>
        </w:rPr>
        <w:t>性病管理模式，争创国家慢性病综合防控示范区。</w:t>
      </w:r>
    </w:p>
    <w:p w14:paraId="2FA4BA01">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ind w:firstLine="562" w:firstLineChars="200"/>
        <w:textAlignment w:val="auto"/>
        <w:rPr>
          <w:rFonts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2.构建县乡村三级协同卫生体系</w:t>
      </w:r>
    </w:p>
    <w:p w14:paraId="18541B87">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ind w:firstLine="560" w:firstLineChars="200"/>
        <w:textAlignment w:val="auto"/>
        <w:rPr>
          <w:rFonts w:ascii="仿宋_GB2312" w:hAnsi="仿宋_GB2312" w:eastAsia="仿宋_GB2312" w:cs="仿宋_GB2312"/>
          <w:bCs/>
          <w:color w:val="000000" w:themeColor="text1"/>
          <w:kern w:val="0"/>
          <w:sz w:val="28"/>
          <w:szCs w:val="28"/>
          <w14:textFill>
            <w14:solidFill>
              <w14:schemeClr w14:val="tx1"/>
            </w14:solidFill>
          </w14:textFill>
        </w:rPr>
      </w:pPr>
      <w:r>
        <w:rPr>
          <w:rFonts w:hint="eastAsia" w:ascii="仿宋_GB2312" w:hAnsi="仿宋_GB2312" w:eastAsia="仿宋_GB2312" w:cs="仿宋_GB2312"/>
          <w:bCs/>
          <w:color w:val="000000" w:themeColor="text1"/>
          <w:kern w:val="0"/>
          <w:sz w:val="28"/>
          <w:szCs w:val="28"/>
          <w14:textFill>
            <w14:solidFill>
              <w14:schemeClr w14:val="tx1"/>
            </w14:solidFill>
          </w14:textFill>
        </w:rPr>
        <w:t>科学确定县、乡、村三级医疗机构的功能定位，实施全</w:t>
      </w:r>
      <w:r>
        <w:rPr>
          <w:rFonts w:hint="eastAsia" w:ascii="仿宋_GB2312" w:hAnsi="仿宋_GB2312" w:eastAsia="仿宋_GB2312" w:cs="仿宋_GB2312"/>
          <w:color w:val="000000" w:themeColor="text1"/>
          <w:sz w:val="28"/>
          <w:szCs w:val="28"/>
          <w14:textFill>
            <w14:solidFill>
              <w14:schemeClr w14:val="tx1"/>
            </w14:solidFill>
          </w14:textFill>
        </w:rPr>
        <w:t>面错位发展，初步实现“小病不出村、首诊卫生院、大病不出县”的就医格局，确保县域就诊率达到90%以上。一要厘清三家县级医院功能定位，实施错位发展，统筹做强县级医院。二要全面做活</w:t>
      </w:r>
      <w:r>
        <w:rPr>
          <w:rFonts w:hint="eastAsia" w:ascii="仿宋_GB2312" w:hAnsi="仿宋_GB2312" w:eastAsia="仿宋_GB2312" w:cs="仿宋_GB2312"/>
          <w:color w:val="000000" w:themeColor="text1"/>
          <w:sz w:val="28"/>
          <w:szCs w:val="28"/>
          <w:lang w:eastAsia="zh-CN"/>
          <w14:textFill>
            <w14:solidFill>
              <w14:schemeClr w14:val="tx1"/>
            </w14:solidFill>
          </w14:textFill>
        </w:rPr>
        <w:t>镇</w:t>
      </w:r>
      <w:r>
        <w:rPr>
          <w:rFonts w:hint="eastAsia" w:ascii="仿宋_GB2312" w:hAnsi="仿宋_GB2312" w:eastAsia="仿宋_GB2312" w:cs="仿宋_GB2312"/>
          <w:color w:val="000000" w:themeColor="text1"/>
          <w:sz w:val="28"/>
          <w:szCs w:val="28"/>
          <w14:textFill>
            <w14:solidFill>
              <w14:schemeClr w14:val="tx1"/>
            </w14:solidFill>
          </w14:textFill>
        </w:rPr>
        <w:t>卫生院，不断壮大整体实力，充分发挥分级诊疗“承上启下”枢纽作用。三要以乡村卫生健康一</w:t>
      </w:r>
      <w:r>
        <w:rPr>
          <w:rFonts w:hint="eastAsia" w:ascii="仿宋_GB2312" w:hAnsi="仿宋_GB2312" w:eastAsia="仿宋_GB2312" w:cs="仿宋_GB2312"/>
          <w:bCs/>
          <w:color w:val="000000" w:themeColor="text1"/>
          <w:kern w:val="0"/>
          <w:sz w:val="28"/>
          <w:szCs w:val="28"/>
          <w14:textFill>
            <w14:solidFill>
              <w14:schemeClr w14:val="tx1"/>
            </w14:solidFill>
          </w14:textFill>
        </w:rPr>
        <w:t>体化管理为载体，做稳村卫生室，实施镇村一体，协同发展，发挥好基层医疗机构“健康守门人”作用。</w:t>
      </w:r>
    </w:p>
    <w:p w14:paraId="53B8C7E3">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ind w:firstLine="562" w:firstLineChars="200"/>
        <w:textAlignment w:val="auto"/>
        <w:rPr>
          <w:rFonts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3.</w:t>
      </w: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完善</w:t>
      </w:r>
      <w:r>
        <w:rPr>
          <w:rFonts w:hint="eastAsia" w:ascii="仿宋_GB2312" w:hAnsi="仿宋_GB2312" w:eastAsia="仿宋_GB2312" w:cs="仿宋_GB2312"/>
          <w:b/>
          <w:color w:val="000000" w:themeColor="text1"/>
          <w:kern w:val="0"/>
          <w:sz w:val="28"/>
          <w:szCs w:val="28"/>
          <w14:textFill>
            <w14:solidFill>
              <w14:schemeClr w14:val="tx1"/>
            </w14:solidFill>
          </w14:textFill>
        </w:rPr>
        <w:t>县域分级诊疗模式</w:t>
      </w:r>
    </w:p>
    <w:p w14:paraId="646069A1">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ind w:firstLine="560" w:firstLineChars="200"/>
        <w:textAlignment w:val="auto"/>
        <w:rPr>
          <w:rFonts w:ascii="仿宋_GB2312" w:hAnsi="仿宋_GB2312" w:eastAsia="仿宋_GB2312" w:cs="仿宋_GB2312"/>
          <w:bCs/>
          <w:color w:val="000000" w:themeColor="text1"/>
          <w:kern w:val="0"/>
          <w:sz w:val="28"/>
          <w:szCs w:val="28"/>
          <w14:textFill>
            <w14:solidFill>
              <w14:schemeClr w14:val="tx1"/>
            </w14:solidFill>
          </w14:textFill>
        </w:rPr>
      </w:pPr>
      <w:r>
        <w:rPr>
          <w:rFonts w:hint="eastAsia" w:ascii="仿宋_GB2312" w:hAnsi="仿宋_GB2312" w:eastAsia="仿宋_GB2312" w:cs="仿宋_GB2312"/>
          <w:bCs/>
          <w:color w:val="000000" w:themeColor="text1"/>
          <w:kern w:val="0"/>
          <w:sz w:val="28"/>
          <w:szCs w:val="28"/>
          <w14:textFill>
            <w14:solidFill>
              <w14:schemeClr w14:val="tx1"/>
            </w14:solidFill>
          </w14:textFill>
        </w:rPr>
        <w:t>以常见病、多发病、慢性病分级诊疗为突破口，不断完善服务网络，创新运行机制和激励机制，引导县级优质医疗资源下沉，推动“小病就医在基层、大病就医进医院、康复治疗回基层”就医新格局的形成，逐步建立符合我县实际的分级诊疗制度。一要明确基层医疗机构、县级医疗机构、专业公共卫生服务机构的基本诊疗范围和主要服务对象。二要确定分级诊疗病种范围，尝试在县级医疗机构推行以按病种付费为主的医保支付方式。三要建立符合自身实际的可追踪、可调控、可监管的双向转诊程序，按照就近、就能力、就需求的转诊原则，畅通双向转诊渠道。</w:t>
      </w:r>
    </w:p>
    <w:p w14:paraId="535E4A2F">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ind w:firstLine="562" w:firstLineChars="200"/>
        <w:textAlignment w:val="auto"/>
        <w:rPr>
          <w:rFonts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4.推进中医药传承创新发展</w:t>
      </w:r>
    </w:p>
    <w:p w14:paraId="7A871CDD">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ind w:firstLine="560" w:firstLineChars="200"/>
        <w:textAlignment w:val="auto"/>
        <w:rPr>
          <w:rFonts w:ascii="仿宋_GB2312" w:hAnsi="仿宋_GB2312" w:eastAsia="仿宋_GB2312" w:cs="仿宋_GB2312"/>
          <w:bCs/>
          <w:color w:val="000000" w:themeColor="text1"/>
          <w:kern w:val="0"/>
          <w:sz w:val="28"/>
          <w:szCs w:val="28"/>
          <w14:textFill>
            <w14:solidFill>
              <w14:schemeClr w14:val="tx1"/>
            </w14:solidFill>
          </w14:textFill>
        </w:rPr>
      </w:pPr>
      <w:r>
        <w:rPr>
          <w:rFonts w:hint="eastAsia" w:ascii="仿宋_GB2312" w:hAnsi="仿宋_GB2312" w:eastAsia="仿宋_GB2312" w:cs="仿宋_GB2312"/>
          <w:bCs/>
          <w:color w:val="000000" w:themeColor="text1"/>
          <w:kern w:val="0"/>
          <w:sz w:val="28"/>
          <w:szCs w:val="28"/>
          <w14:textFill>
            <w14:solidFill>
              <w14:schemeClr w14:val="tx1"/>
            </w14:solidFill>
          </w14:textFill>
        </w:rPr>
        <w:t>加强中医药服务体系建设，健全完善以公立医疗服务为主、社会办中医药服务为补充，覆盖县镇村的中医医疗服务体系。强化县中医院建设，完成县中医院整体能力提升工程项目，强化以中医药服务为主的办院模式和服务功能，“十四五”期间，力争县中医院整体实力跻身全省前列，服务能力达到三级水平。夯实基层中医药服务基础，实行中医药人员“县管乡用”，招聘能中会西的大学生村医到村卫生室工作，纳入乡（镇）卫生院聘用管理。</w:t>
      </w:r>
    </w:p>
    <w:p w14:paraId="0958F2BF">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ind w:firstLine="562" w:firstLineChars="200"/>
        <w:textAlignment w:val="auto"/>
        <w:rPr>
          <w:rFonts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5.提升公共卫生事件处置能力</w:t>
      </w:r>
    </w:p>
    <w:p w14:paraId="63728AA6">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ind w:firstLine="560" w:firstLineChars="200"/>
        <w:textAlignment w:val="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四五”期间，要立足强弱项，补短板，全面加大投入，健全应急处置机制、疾病预防控制、卫生监督、妇幼保健、精神卫生、应急救治、基层卫生等7大体系，基本建成布局合理、功能完善、反应灵敏、高效运转的多元化的公共卫生体系，重点抓好清河县基层公共卫生医疗设施提升项目、清河县智慧医疗公共卫生服务平台建设项目、清河县人民医院传染病区项目，实施医疗废弃物集中收集处理工程。有效提升我县公共卫生服务和突发公共卫生事件应急处置能力。</w:t>
      </w:r>
    </w:p>
    <w:p w14:paraId="023DA1BF">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40" w:lineRule="exact"/>
        <w:ind w:firstLine="562" w:firstLineChars="200"/>
        <w:textAlignment w:val="auto"/>
        <w:rPr>
          <w:rFonts w:hint="default" w:ascii="仿宋_GB2312" w:hAnsi="仿宋_GB2312" w:eastAsia="仿宋_GB2312" w:cs="仿宋_GB2312"/>
          <w:b/>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6.</w:t>
      </w: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促进</w:t>
      </w:r>
      <w:r>
        <w:rPr>
          <w:rFonts w:hint="eastAsia" w:ascii="仿宋_GB2312" w:hAnsi="仿宋_GB2312" w:eastAsia="仿宋_GB2312" w:cs="仿宋_GB2312"/>
          <w:b/>
          <w:color w:val="000000" w:themeColor="text1"/>
          <w:kern w:val="0"/>
          <w:sz w:val="28"/>
          <w:szCs w:val="28"/>
          <w14:textFill>
            <w14:solidFill>
              <w14:schemeClr w14:val="tx1"/>
            </w14:solidFill>
          </w14:textFill>
        </w:rPr>
        <w:t>体育事业</w:t>
      </w: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全面发展</w:t>
      </w:r>
    </w:p>
    <w:p w14:paraId="0FDAA10C">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落实《国务院办公厅关于加强全民健身场地设施建设发展群众体育的意见》，增加健身设施有效供给，补齐群众身边的健身设施短板，建设县级体育场、体育馆、全民健身中心、游泳馆、社区多功能运动场和一批便民利民的中小型体育场馆</w:t>
      </w:r>
      <w:r>
        <w:rPr>
          <w:rFonts w:hint="eastAsia" w:ascii="仿宋_GB2312" w:hAnsi="仿宋_GB2312" w:eastAsia="仿宋_GB2312" w:cs="仿宋_GB2312"/>
          <w:b/>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充分利用好现有冰雪运动场地、设施设备，引导社会力量进入冰雪运动领域，推进冰雪运动进景区、进社区、进学校，扶持轮滑、滑冰、冰球、冰壶等具有一定群众基础的冰雪健身休闲项目，全力推进冰雪运动项目发展。</w:t>
      </w:r>
      <w:bookmarkStart w:id="239" w:name="_Toc12451"/>
    </w:p>
    <w:p w14:paraId="51C7AD44">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40" w:lineRule="exact"/>
        <w:ind w:firstLine="560" w:firstLineChars="200"/>
        <w:textAlignment w:val="auto"/>
        <w:rPr>
          <w:rFonts w:ascii="楷体_GB2312" w:hAnsi="楷体_GB2312" w:eastAsia="楷体_GB2312" w:cs="楷体_GB2312"/>
          <w:b w:val="0"/>
          <w:bCs/>
          <w:color w:val="000000" w:themeColor="text1"/>
          <w:sz w:val="28"/>
          <w:szCs w:val="28"/>
          <w14:textFill>
            <w14:solidFill>
              <w14:schemeClr w14:val="tx1"/>
            </w14:solidFill>
          </w14:textFill>
        </w:rPr>
      </w:pPr>
      <w:r>
        <w:rPr>
          <w:rFonts w:hint="eastAsia" w:ascii="楷体_GB2312" w:hAnsi="楷体_GB2312" w:eastAsia="楷体_GB2312" w:cs="楷体_GB2312"/>
          <w:b w:val="0"/>
          <w:bCs/>
          <w:color w:val="000000" w:themeColor="text1"/>
          <w:sz w:val="28"/>
          <w:szCs w:val="28"/>
          <w:lang w:eastAsia="zh-CN"/>
          <w14:textFill>
            <w14:solidFill>
              <w14:schemeClr w14:val="tx1"/>
            </w14:solidFill>
          </w14:textFill>
        </w:rPr>
        <w:t>（八）</w:t>
      </w:r>
      <w:r>
        <w:rPr>
          <w:rFonts w:hint="eastAsia" w:ascii="楷体_GB2312" w:hAnsi="楷体_GB2312" w:eastAsia="楷体_GB2312" w:cs="楷体_GB2312"/>
          <w:b w:val="0"/>
          <w:bCs/>
          <w:color w:val="000000" w:themeColor="text1"/>
          <w:sz w:val="28"/>
          <w:szCs w:val="28"/>
          <w14:textFill>
            <w14:solidFill>
              <w14:schemeClr w14:val="tx1"/>
            </w14:solidFill>
          </w14:textFill>
        </w:rPr>
        <w:t>提升“一老一小”保障能力</w:t>
      </w:r>
      <w:bookmarkEnd w:id="239"/>
    </w:p>
    <w:p w14:paraId="1A00A750">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40" w:lineRule="exact"/>
        <w:ind w:firstLine="562" w:firstLineChars="200"/>
        <w:textAlignment w:val="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积极应对人口老龄化</w:t>
      </w:r>
      <w:bookmarkStart w:id="240" w:name="_Toc14774"/>
      <w:bookmarkStart w:id="241" w:name="_Toc31399"/>
      <w:r>
        <w:rPr>
          <w:rFonts w:hint="eastAsia" w:ascii="仿宋_GB2312" w:hAnsi="仿宋_GB2312" w:eastAsia="仿宋_GB2312" w:cs="仿宋_GB2312"/>
          <w:b/>
          <w:bCs/>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推动养老事业和养老产业协同发展，健全基本养老服务体系，发展普惠型养老服务和互助性养老，支持家庭承担养老功能，培育养老新业态，构建居家社区机构相协调、医养康养相结合的养老服务体系，编制养老服务专项规划，健全养老服务综合监管制度。支持和鼓励社会力量兴建养老机构，增强公办养老机构服务能力，探索公办养老机构改革，切实满足老年人需求。鼓励民间等多元化投资，持续加大对公益养老服务设施建设投入。实施</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城乡</w:t>
      </w:r>
      <w:r>
        <w:rPr>
          <w:rFonts w:hint="eastAsia" w:ascii="仿宋_GB2312" w:hAnsi="仿宋_GB2312" w:eastAsia="仿宋_GB2312" w:cs="仿宋_GB2312"/>
          <w:color w:val="000000" w:themeColor="text1"/>
          <w:sz w:val="28"/>
          <w:szCs w:val="28"/>
          <w14:textFill>
            <w14:solidFill>
              <w14:schemeClr w14:val="tx1"/>
            </w14:solidFill>
          </w14:textFill>
        </w:rPr>
        <w:t>养老服务中心提升工程，健全完善社区居家养老服务网络，建立多元化养老服务平台，全面提升社区养老服务水平</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完成2家社区日间照料中心建设任务，强化社区日间照料中心服务功能，逐步形成专兼结合的养老服务队伍，为全县老年人提供一流服务。</w:t>
      </w:r>
      <w:bookmarkStart w:id="242" w:name="_Toc23840"/>
    </w:p>
    <w:p w14:paraId="087127CC">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40" w:lineRule="exact"/>
        <w:ind w:firstLine="562"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着力发展托育服务。</w:t>
      </w:r>
      <w:r>
        <w:rPr>
          <w:rFonts w:hint="eastAsia" w:ascii="仿宋_GB2312" w:hAnsi="仿宋_GB2312" w:eastAsia="仿宋_GB2312" w:cs="仿宋_GB2312"/>
          <w:color w:val="000000" w:themeColor="text1"/>
          <w:sz w:val="28"/>
          <w:szCs w:val="28"/>
          <w14:textFill>
            <w14:solidFill>
              <w14:schemeClr w14:val="tx1"/>
            </w14:solidFill>
          </w14:textFill>
        </w:rPr>
        <w:t>认真落实国务院关于促进养老托育服务健康发展的意见，积极探索开展形式多样、规模适度的托育服务，鼓励引导社会力量开设以“品牌连锁服务”“幼儿园设立托班”和“单位福利性服务”为试点的婴幼儿照护服务机构，向3岁以下婴幼儿及家庭提供全日托、半日托、计时托、临时托等多样的、多层次的、优质的托育服务，确保婴幼有人照看、有园可托。</w:t>
      </w:r>
      <w:bookmarkStart w:id="243" w:name="_Toc15335"/>
    </w:p>
    <w:p w14:paraId="641C4E06">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ind w:firstLine="560" w:firstLineChars="200"/>
        <w:textAlignment w:val="auto"/>
        <w:rPr>
          <w:rFonts w:ascii="仿宋_GB2312" w:hAnsi="Times New Roman" w:eastAsia="仿宋_GB2312" w:cs="宋体"/>
          <w:b w:val="0"/>
          <w:bCs/>
          <w:color w:val="000000" w:themeColor="text1"/>
          <w:kern w:val="0"/>
          <w:sz w:val="28"/>
          <w:szCs w:val="28"/>
          <w14:textFill>
            <w14:solidFill>
              <w14:schemeClr w14:val="tx1"/>
            </w14:solidFill>
          </w14:textFill>
        </w:rPr>
      </w:pPr>
      <w:r>
        <w:rPr>
          <w:rFonts w:hint="eastAsia" w:ascii="楷体_GB2312" w:hAnsi="楷体_GB2312" w:eastAsia="楷体_GB2312" w:cs="楷体_GB2312"/>
          <w:b w:val="0"/>
          <w:bCs/>
          <w:color w:val="000000" w:themeColor="text1"/>
          <w:sz w:val="28"/>
          <w:szCs w:val="28"/>
          <w:lang w:eastAsia="zh-CN"/>
          <w14:textFill>
            <w14:solidFill>
              <w14:schemeClr w14:val="tx1"/>
            </w14:solidFill>
          </w14:textFill>
        </w:rPr>
        <w:t>（九）</w:t>
      </w:r>
      <w:r>
        <w:rPr>
          <w:rFonts w:hint="eastAsia" w:ascii="楷体_GB2312" w:hAnsi="楷体_GB2312" w:eastAsia="楷体_GB2312" w:cs="楷体_GB2312"/>
          <w:b w:val="0"/>
          <w:bCs/>
          <w:color w:val="000000" w:themeColor="text1"/>
          <w:sz w:val="28"/>
          <w:szCs w:val="28"/>
          <w14:textFill>
            <w14:solidFill>
              <w14:schemeClr w14:val="tx1"/>
            </w14:solidFill>
          </w14:textFill>
        </w:rPr>
        <w:t>统筹其它各项事业发展</w:t>
      </w:r>
      <w:bookmarkEnd w:id="242"/>
      <w:bookmarkEnd w:id="243"/>
    </w:p>
    <w:p w14:paraId="65CEE983">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ind w:firstLine="560" w:firstLineChars="200"/>
        <w:textAlignment w:val="auto"/>
        <w:rPr>
          <w:rFonts w:ascii="仿宋_GB2312" w:hAnsi="仿宋" w:eastAsia="仿宋_GB2312" w:cs="宋体"/>
          <w:color w:val="000000" w:themeColor="text1"/>
          <w:kern w:val="0"/>
          <w:sz w:val="28"/>
          <w:szCs w:val="28"/>
          <w14:textFill>
            <w14:solidFill>
              <w14:schemeClr w14:val="tx1"/>
            </w14:solidFill>
          </w14:textFill>
        </w:rPr>
      </w:pPr>
      <w:r>
        <w:rPr>
          <w:rFonts w:hint="eastAsia" w:ascii="仿宋_GB2312" w:hAnsi="仿宋" w:eastAsia="仿宋_GB2312" w:cs="宋体"/>
          <w:color w:val="000000" w:themeColor="text1"/>
          <w:kern w:val="0"/>
          <w:sz w:val="28"/>
          <w:szCs w:val="28"/>
          <w14:textFill>
            <w14:solidFill>
              <w14:schemeClr w14:val="tx1"/>
            </w14:solidFill>
          </w14:textFill>
        </w:rPr>
        <w:t>坚持各项社会事业协调均衡发展，加强弱势群体保护，促进青少年</w:t>
      </w:r>
      <w:r>
        <w:rPr>
          <w:rFonts w:hint="eastAsia" w:ascii="仿宋_GB2312" w:hAnsi="仿宋_GB2312" w:eastAsia="仿宋_GB2312" w:cs="仿宋_GB2312"/>
          <w:color w:val="000000" w:themeColor="text1"/>
          <w:sz w:val="28"/>
          <w:szCs w:val="28"/>
          <w14:textFill>
            <w14:solidFill>
              <w14:schemeClr w14:val="tx1"/>
            </w14:solidFill>
          </w14:textFill>
        </w:rPr>
        <w:t>发展</w:t>
      </w:r>
      <w:r>
        <w:rPr>
          <w:rFonts w:hint="eastAsia" w:ascii="仿宋_GB2312" w:hAnsi="仿宋" w:eastAsia="仿宋_GB2312" w:cs="宋体"/>
          <w:color w:val="000000" w:themeColor="text1"/>
          <w:kern w:val="0"/>
          <w:sz w:val="28"/>
          <w:szCs w:val="28"/>
          <w14:textFill>
            <w14:solidFill>
              <w14:schemeClr w14:val="tx1"/>
            </w14:solidFill>
          </w14:textFill>
        </w:rPr>
        <w:t>，推动妇女儿童、青少年、残疾人、红十字等事业健康发展。</w:t>
      </w:r>
      <w:bookmarkStart w:id="244" w:name="_Toc7426"/>
      <w:r>
        <w:rPr>
          <w:rFonts w:hint="eastAsia" w:ascii="仿宋_GB2312" w:hAnsi="仿宋" w:eastAsia="仿宋_GB2312" w:cs="宋体"/>
          <w:b/>
          <w:bCs/>
          <w:color w:val="000000" w:themeColor="text1"/>
          <w:kern w:val="0"/>
          <w:sz w:val="28"/>
          <w:szCs w:val="28"/>
          <w14:textFill>
            <w14:solidFill>
              <w14:schemeClr w14:val="tx1"/>
            </w14:solidFill>
          </w14:textFill>
        </w:rPr>
        <w:t>切实保障妇女儿童合法权益</w:t>
      </w:r>
      <w:bookmarkEnd w:id="244"/>
      <w:r>
        <w:rPr>
          <w:rFonts w:hint="eastAsia" w:ascii="仿宋_GB2312" w:hAnsi="仿宋" w:eastAsia="仿宋_GB2312" w:cs="宋体"/>
          <w:b/>
          <w:bCs/>
          <w:color w:val="000000" w:themeColor="text1"/>
          <w:kern w:val="0"/>
          <w:sz w:val="28"/>
          <w:szCs w:val="28"/>
          <w14:textFill>
            <w14:solidFill>
              <w14:schemeClr w14:val="tx1"/>
            </w14:solidFill>
          </w14:textFill>
        </w:rPr>
        <w:t>。</w:t>
      </w:r>
      <w:r>
        <w:rPr>
          <w:rFonts w:hint="eastAsia" w:ascii="仿宋_GB2312" w:hAnsi="仿宋" w:eastAsia="仿宋_GB2312" w:cs="宋体"/>
          <w:color w:val="000000" w:themeColor="text1"/>
          <w:kern w:val="0"/>
          <w:sz w:val="28"/>
          <w:szCs w:val="28"/>
          <w14:textFill>
            <w14:solidFill>
              <w14:schemeClr w14:val="tx1"/>
            </w14:solidFill>
          </w14:textFill>
        </w:rPr>
        <w:t>保障妇女儿童合法权益，优化妇女发展环境，提高妇女社会地位，推动妇女平等依法行使民主权利，平等参与经济社会发展，平等享有改革发展成果。建立健全困境儿童关爱救助保障机制，进一步完善儿童工作机制，推进城乡儿童事业平衡发展，明显改善儿童生存、保护、发展的环境和条件。</w:t>
      </w:r>
      <w:bookmarkStart w:id="245" w:name="_Toc8249"/>
      <w:r>
        <w:rPr>
          <w:rFonts w:hint="eastAsia" w:ascii="仿宋_GB2312" w:hAnsi="仿宋" w:eastAsia="仿宋_GB2312" w:cs="宋体"/>
          <w:b/>
          <w:bCs/>
          <w:color w:val="000000" w:themeColor="text1"/>
          <w:kern w:val="0"/>
          <w:sz w:val="28"/>
          <w:szCs w:val="28"/>
          <w14:textFill>
            <w14:solidFill>
              <w14:schemeClr w14:val="tx1"/>
            </w14:solidFill>
          </w14:textFill>
        </w:rPr>
        <w:t>大力发展青少年事业</w:t>
      </w:r>
      <w:bookmarkEnd w:id="245"/>
      <w:r>
        <w:rPr>
          <w:rFonts w:hint="eastAsia" w:ascii="仿宋_GB2312" w:hAnsi="仿宋" w:eastAsia="仿宋_GB2312" w:cs="宋体"/>
          <w:b/>
          <w:bCs/>
          <w:color w:val="000000" w:themeColor="text1"/>
          <w:kern w:val="0"/>
          <w:sz w:val="28"/>
          <w:szCs w:val="28"/>
          <w14:textFill>
            <w14:solidFill>
              <w14:schemeClr w14:val="tx1"/>
            </w14:solidFill>
          </w14:textFill>
        </w:rPr>
        <w:t>。</w:t>
      </w:r>
      <w:r>
        <w:rPr>
          <w:rFonts w:hint="eastAsia" w:ascii="仿宋_GB2312" w:hAnsi="仿宋" w:eastAsia="仿宋_GB2312" w:cs="宋体"/>
          <w:color w:val="000000" w:themeColor="text1"/>
          <w:kern w:val="0"/>
          <w:sz w:val="28"/>
          <w:szCs w:val="28"/>
          <w14:textFill>
            <w14:solidFill>
              <w14:schemeClr w14:val="tx1"/>
            </w14:solidFill>
          </w14:textFill>
        </w:rPr>
        <w:t>践行党管青年原则，坚持青年优先发展，为党培养和输送青年政治骨干。加强青年毕业求职、就业创业、婚恋交友及心理健康教育和服务。建立健全青少年权益保护体制，构建政府、学校、家庭、社会协同参与的青少年维权体系。</w:t>
      </w:r>
      <w:bookmarkStart w:id="246" w:name="_Toc25262"/>
      <w:r>
        <w:rPr>
          <w:rFonts w:hint="eastAsia" w:ascii="仿宋_GB2312" w:hAnsi="仿宋" w:eastAsia="仿宋_GB2312" w:cs="宋体"/>
          <w:b/>
          <w:bCs/>
          <w:color w:val="000000" w:themeColor="text1"/>
          <w:kern w:val="0"/>
          <w:sz w:val="28"/>
          <w:szCs w:val="28"/>
          <w14:textFill>
            <w14:solidFill>
              <w14:schemeClr w14:val="tx1"/>
            </w14:solidFill>
          </w14:textFill>
        </w:rPr>
        <w:t>加快残疾人事业发展</w:t>
      </w:r>
      <w:bookmarkEnd w:id="246"/>
      <w:r>
        <w:rPr>
          <w:rFonts w:hint="eastAsia" w:ascii="仿宋_GB2312" w:hAnsi="仿宋" w:eastAsia="仿宋_GB2312" w:cs="宋体"/>
          <w:b/>
          <w:bCs/>
          <w:color w:val="000000" w:themeColor="text1"/>
          <w:kern w:val="0"/>
          <w:sz w:val="28"/>
          <w:szCs w:val="28"/>
          <w14:textFill>
            <w14:solidFill>
              <w14:schemeClr w14:val="tx1"/>
            </w14:solidFill>
          </w14:textFill>
        </w:rPr>
        <w:t>。</w:t>
      </w:r>
      <w:r>
        <w:rPr>
          <w:rFonts w:hint="eastAsia" w:ascii="仿宋_GB2312" w:hAnsi="仿宋" w:eastAsia="仿宋_GB2312" w:cs="宋体"/>
          <w:color w:val="000000" w:themeColor="text1"/>
          <w:kern w:val="0"/>
          <w:sz w:val="28"/>
          <w:szCs w:val="28"/>
          <w14:textFill>
            <w14:solidFill>
              <w14:schemeClr w14:val="tx1"/>
            </w14:solidFill>
          </w14:textFill>
        </w:rPr>
        <w:t>完善残疾人帮扶制度和服务体系，促进残疾人充分参与和社会融合，建立稳定增长的残疾人事业多元投入格局，推动残疾人事业高质量发展。</w:t>
      </w:r>
      <w:bookmarkStart w:id="247" w:name="_Toc8659"/>
    </w:p>
    <w:p w14:paraId="45E2857B">
      <w:pPr>
        <w:keepNext w:val="0"/>
        <w:keepLines w:val="0"/>
        <w:pageBreakBefore w:val="0"/>
        <w:widowControl w:val="0"/>
        <w:numPr>
          <w:ilvl w:val="0"/>
          <w:numId w:val="6"/>
        </w:numPr>
        <w:pBdr>
          <w:bottom w:val="single" w:color="FFFFFF" w:sz="4" w:space="31"/>
        </w:pBdr>
        <w:kinsoku/>
        <w:wordWrap/>
        <w:overflowPunct/>
        <w:topLinePunct w:val="0"/>
        <w:autoSpaceDE/>
        <w:autoSpaceDN/>
        <w:bidi w:val="0"/>
        <w:adjustRightInd w:val="0"/>
        <w:snapToGrid w:val="0"/>
        <w:spacing w:line="560" w:lineRule="exact"/>
        <w:ind w:firstLine="560" w:firstLineChars="200"/>
        <w:textAlignment w:val="auto"/>
        <w:outlineLvl w:val="1"/>
        <w:rPr>
          <w:rStyle w:val="32"/>
          <w:rFonts w:ascii="黑体" w:hAnsi="黑体" w:eastAsia="黑体"/>
          <w:b w:val="0"/>
          <w:bCs w:val="0"/>
          <w:color w:val="000000" w:themeColor="text1"/>
          <w:sz w:val="28"/>
          <w:szCs w:val="28"/>
          <w14:textFill>
            <w14:solidFill>
              <w14:schemeClr w14:val="tx1"/>
            </w14:solidFill>
          </w14:textFill>
        </w:rPr>
      </w:pPr>
      <w:bookmarkStart w:id="248" w:name="_Toc20126"/>
      <w:r>
        <w:rPr>
          <w:rStyle w:val="32"/>
          <w:rFonts w:hint="eastAsia" w:ascii="黑体" w:hAnsi="黑体" w:eastAsia="黑体"/>
          <w:b w:val="0"/>
          <w:bCs w:val="0"/>
          <w:color w:val="000000" w:themeColor="text1"/>
          <w:sz w:val="28"/>
          <w:szCs w:val="28"/>
          <w14:textFill>
            <w14:solidFill>
              <w14:schemeClr w14:val="tx1"/>
            </w14:solidFill>
          </w14:textFill>
        </w:rPr>
        <w:t>强化社会治理，筑牢高质量赶超发展护城河</w:t>
      </w:r>
      <w:bookmarkEnd w:id="240"/>
      <w:bookmarkEnd w:id="241"/>
      <w:bookmarkEnd w:id="247"/>
      <w:bookmarkEnd w:id="248"/>
    </w:p>
    <w:p w14:paraId="62D4C060">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ind w:firstLine="560" w:firstLineChars="200"/>
        <w:textAlignment w:val="auto"/>
        <w:outlineLvl w:val="2"/>
        <w:rPr>
          <w:rFonts w:ascii="楷体_GB2312" w:hAnsi="楷体_GB2312" w:eastAsia="楷体_GB2312" w:cs="楷体_GB2312"/>
          <w:b w:val="0"/>
          <w:bCs w:val="0"/>
          <w:color w:val="000000" w:themeColor="text1"/>
          <w:sz w:val="28"/>
          <w:szCs w:val="28"/>
          <w14:textFill>
            <w14:solidFill>
              <w14:schemeClr w14:val="tx1"/>
            </w14:solidFill>
          </w14:textFill>
        </w:rPr>
      </w:pPr>
      <w:bookmarkStart w:id="249" w:name="_Toc12317"/>
      <w:r>
        <w:rPr>
          <w:rFonts w:hint="eastAsia" w:ascii="楷体_GB2312" w:hAnsi="楷体_GB2312" w:eastAsia="楷体_GB2312" w:cs="楷体_GB2312"/>
          <w:b w:val="0"/>
          <w:bCs w:val="0"/>
          <w:color w:val="000000" w:themeColor="text1"/>
          <w:sz w:val="28"/>
          <w:szCs w:val="28"/>
          <w14:textFill>
            <w14:solidFill>
              <w14:schemeClr w14:val="tx1"/>
            </w14:solidFill>
          </w14:textFill>
        </w:rPr>
        <w:t>（一）坚持总体国家安全观</w:t>
      </w:r>
      <w:bookmarkEnd w:id="249"/>
    </w:p>
    <w:p w14:paraId="20DBCD63">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ind w:firstLine="560" w:firstLineChars="200"/>
        <w:textAlignment w:val="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严格落实国家安全责任制，加强国家安全体系和能力建设，建立健全国家安全风险研判、防控协同、防范化解机制。坚决维护国家政权安全、制度安全，严防敌对势力渗透、破坏、颠覆、分裂活动。强化经济安全风险预警、防控机制和能力建设，守住不发生系统性风险底线。开展国家安全宣传教育，巩固国家安全人民防线。坚决服从服务国防军队建设、“一国两制”、祖国统一的国家大局。坚持党管武装，严格落实党委议军等制度；加强后备力量建设，建强民兵组织，推进专武干部队伍和基层武装部规范化建设；加强全民国防教育，扎实做好“双拥共建”工作。</w:t>
      </w:r>
    </w:p>
    <w:p w14:paraId="51BDC569">
      <w:pPr>
        <w:keepNext w:val="0"/>
        <w:keepLines w:val="0"/>
        <w:pageBreakBefore w:val="0"/>
        <w:widowControl w:val="0"/>
        <w:numPr>
          <w:ilvl w:val="0"/>
          <w:numId w:val="5"/>
        </w:numPr>
        <w:pBdr>
          <w:bottom w:val="single" w:color="FFFFFF" w:sz="4" w:space="31"/>
        </w:pBdr>
        <w:kinsoku/>
        <w:wordWrap/>
        <w:overflowPunct/>
        <w:topLinePunct w:val="0"/>
        <w:autoSpaceDE/>
        <w:autoSpaceDN/>
        <w:bidi w:val="0"/>
        <w:adjustRightInd w:val="0"/>
        <w:snapToGrid w:val="0"/>
        <w:spacing w:line="560" w:lineRule="exact"/>
        <w:ind w:left="0" w:leftChars="0" w:firstLine="420" w:firstLineChars="0"/>
        <w:textAlignment w:val="auto"/>
        <w:outlineLvl w:val="2"/>
        <w:rPr>
          <w:rFonts w:hint="eastAsia" w:ascii="楷体_GB2312" w:hAnsi="楷体_GB2312" w:eastAsia="楷体_GB2312" w:cs="楷体_GB2312"/>
          <w:b w:val="0"/>
          <w:bCs w:val="0"/>
          <w:color w:val="000000" w:themeColor="text1"/>
          <w:sz w:val="28"/>
          <w:szCs w:val="28"/>
          <w14:textFill>
            <w14:solidFill>
              <w14:schemeClr w14:val="tx1"/>
            </w14:solidFill>
          </w14:textFill>
        </w:rPr>
      </w:pPr>
      <w:bookmarkStart w:id="250" w:name="_Toc22821"/>
      <w:r>
        <w:rPr>
          <w:rFonts w:hint="eastAsia" w:ascii="楷体_GB2312" w:hAnsi="楷体_GB2312" w:eastAsia="楷体_GB2312" w:cs="楷体_GB2312"/>
          <w:b w:val="0"/>
          <w:bCs w:val="0"/>
          <w:color w:val="000000" w:themeColor="text1"/>
          <w:sz w:val="28"/>
          <w:szCs w:val="28"/>
          <w14:textFill>
            <w14:solidFill>
              <w14:schemeClr w14:val="tx1"/>
            </w14:solidFill>
          </w14:textFill>
        </w:rPr>
        <w:t>推进法治清河建设</w:t>
      </w:r>
      <w:bookmarkEnd w:id="250"/>
    </w:p>
    <w:p w14:paraId="6B3B3718">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firstLine="562" w:firstLineChars="200"/>
        <w:textAlignment w:val="auto"/>
        <w:outlineLvl w:val="2"/>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扎实抓好法治宣传教育。</w:t>
      </w:r>
      <w:r>
        <w:rPr>
          <w:rFonts w:hint="eastAsia" w:ascii="仿宋_GB2312" w:hAnsi="仿宋_GB2312" w:eastAsia="仿宋_GB2312" w:cs="仿宋_GB2312"/>
          <w:color w:val="000000" w:themeColor="text1"/>
          <w:sz w:val="28"/>
          <w:szCs w:val="28"/>
          <w14:textFill>
            <w14:solidFill>
              <w14:schemeClr w14:val="tx1"/>
            </w14:solidFill>
          </w14:textFill>
        </w:rPr>
        <w:t>切实抓好“七五”普法总结和“八五”普法的规划组织，广泛开展“法律七进”活动</w:t>
      </w:r>
      <w:r>
        <w:rPr>
          <w:rFonts w:hint="eastAsia" w:hAnsi="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加大全民法治宣传教育力度。</w:t>
      </w:r>
      <w:r>
        <w:rPr>
          <w:rFonts w:hint="eastAsia" w:ascii="仿宋_GB2312" w:hAnsi="仿宋_GB2312" w:eastAsia="仿宋_GB2312" w:cs="仿宋_GB2312"/>
          <w:b/>
          <w:bCs/>
          <w:color w:val="000000" w:themeColor="text1"/>
          <w:sz w:val="28"/>
          <w:szCs w:val="28"/>
          <w14:textFill>
            <w14:solidFill>
              <w14:schemeClr w14:val="tx1"/>
            </w14:solidFill>
          </w14:textFill>
        </w:rPr>
        <w:t>切实提高法治建设水平。</w:t>
      </w:r>
      <w:r>
        <w:rPr>
          <w:rFonts w:hint="eastAsia" w:ascii="仿宋_GB2312" w:hAnsi="仿宋_GB2312" w:eastAsia="仿宋_GB2312" w:cs="仿宋_GB2312"/>
          <w:color w:val="000000" w:themeColor="text1"/>
          <w:sz w:val="28"/>
          <w:szCs w:val="28"/>
          <w14:textFill>
            <w14:solidFill>
              <w14:schemeClr w14:val="tx1"/>
            </w14:solidFill>
          </w14:textFill>
        </w:rPr>
        <w:t>进一步配齐、配强依法治县办工作人员，建立健全依法治县工作网络</w:t>
      </w:r>
      <w:r>
        <w:rPr>
          <w:rFonts w:hint="eastAsia" w:hAnsi="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把依法治县工作纳入年度目标绩效考核，</w:t>
      </w:r>
      <w:r>
        <w:rPr>
          <w:rFonts w:hint="eastAsia" w:hAnsi="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强化依法治县工作的督导考核。</w:t>
      </w:r>
      <w:r>
        <w:rPr>
          <w:rFonts w:hint="eastAsia" w:ascii="仿宋_GB2312" w:hAnsi="仿宋_GB2312" w:eastAsia="仿宋_GB2312" w:cs="仿宋_GB2312"/>
          <w:b/>
          <w:bCs/>
          <w:color w:val="000000" w:themeColor="text1"/>
          <w:sz w:val="28"/>
          <w:szCs w:val="28"/>
          <w14:textFill>
            <w14:solidFill>
              <w14:schemeClr w14:val="tx1"/>
            </w14:solidFill>
          </w14:textFill>
        </w:rPr>
        <w:t>加快推进法治政府建设。</w:t>
      </w:r>
      <w:r>
        <w:rPr>
          <w:rFonts w:hint="eastAsia" w:ascii="仿宋_GB2312" w:hAnsi="仿宋_GB2312" w:eastAsia="仿宋_GB2312" w:cs="仿宋_GB2312"/>
          <w:color w:val="000000" w:themeColor="text1"/>
          <w:sz w:val="28"/>
          <w:szCs w:val="28"/>
          <w14:textFill>
            <w14:solidFill>
              <w14:schemeClr w14:val="tx1"/>
            </w14:solidFill>
          </w14:textFill>
        </w:rPr>
        <w:t>严格规范行政执法，严格落实好执法监督工作。加强行政执法人员的培训，进一步提高行政执法人员的能力和水平。严格执行规范性文件“三统一”制度，严格审查把关。</w:t>
      </w:r>
      <w:r>
        <w:rPr>
          <w:rFonts w:hint="eastAsia" w:ascii="仿宋_GB2312" w:hAnsi="仿宋_GB2312" w:eastAsia="仿宋_GB2312" w:cs="仿宋_GB2312"/>
          <w:b/>
          <w:bCs/>
          <w:color w:val="000000" w:themeColor="text1"/>
          <w:sz w:val="28"/>
          <w:szCs w:val="28"/>
          <w14:textFill>
            <w14:solidFill>
              <w14:schemeClr w14:val="tx1"/>
            </w14:solidFill>
          </w14:textFill>
        </w:rPr>
        <w:t>进一步强化人民调解工作。</w:t>
      </w:r>
      <w:r>
        <w:rPr>
          <w:rFonts w:hint="eastAsia" w:ascii="仿宋_GB2312" w:hAnsi="仿宋_GB2312" w:eastAsia="仿宋_GB2312" w:cs="仿宋_GB2312"/>
          <w:color w:val="000000" w:themeColor="text1"/>
          <w:sz w:val="28"/>
          <w:szCs w:val="28"/>
          <w14:textFill>
            <w14:solidFill>
              <w14:schemeClr w14:val="tx1"/>
            </w14:solidFill>
          </w14:textFill>
        </w:rPr>
        <w:t>进一步加大人民调解委员会建设力度，积极开展重点领域矛盾纠纷排查调处工作，及时化解专业领域的矛盾纠纷</w:t>
      </w:r>
      <w:r>
        <w:rPr>
          <w:rFonts w:hint="eastAsia" w:hAnsi="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充分发挥人民调解在维护社会稳定中的重要作用</w:t>
      </w:r>
      <w:r>
        <w:rPr>
          <w:rFonts w:hint="eastAsia" w:hAnsi="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b/>
          <w:bCs/>
          <w:color w:val="000000" w:themeColor="text1"/>
          <w:sz w:val="28"/>
          <w:szCs w:val="28"/>
          <w14:textFill>
            <w14:solidFill>
              <w14:schemeClr w14:val="tx1"/>
            </w14:solidFill>
          </w14:textFill>
        </w:rPr>
        <w:t>继续加强特殊人员监管安全。</w:t>
      </w:r>
      <w:r>
        <w:rPr>
          <w:rFonts w:hint="eastAsia" w:ascii="仿宋_GB2312" w:hAnsi="仿宋_GB2312" w:eastAsia="仿宋_GB2312" w:cs="仿宋_GB2312"/>
          <w:color w:val="000000" w:themeColor="text1"/>
          <w:sz w:val="28"/>
          <w:szCs w:val="28"/>
          <w14:textFill>
            <w14:solidFill>
              <w14:schemeClr w14:val="tx1"/>
            </w14:solidFill>
          </w14:textFill>
        </w:rPr>
        <w:t>全力加强对社区矫正对象的管理，建立司法所、派出所、村（居）委会与家庭齐抓共管机制</w:t>
      </w:r>
      <w:r>
        <w:rPr>
          <w:rFonts w:hint="eastAsia" w:hAnsi="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加强刑满释放安置帮教人员管理教育帮扶。</w:t>
      </w:r>
      <w:r>
        <w:rPr>
          <w:rFonts w:hint="eastAsia" w:ascii="仿宋_GB2312" w:hAnsi="仿宋_GB2312" w:eastAsia="仿宋_GB2312" w:cs="仿宋_GB2312"/>
          <w:b/>
          <w:bCs/>
          <w:color w:val="000000" w:themeColor="text1"/>
          <w:sz w:val="28"/>
          <w:szCs w:val="28"/>
          <w14:textFill>
            <w14:solidFill>
              <w14:schemeClr w14:val="tx1"/>
            </w14:solidFill>
          </w14:textFill>
        </w:rPr>
        <w:t>建立健全法律服务机制。</w:t>
      </w:r>
      <w:r>
        <w:rPr>
          <w:rFonts w:hint="eastAsia" w:ascii="仿宋_GB2312" w:hAnsi="仿宋_GB2312" w:eastAsia="仿宋_GB2312" w:cs="仿宋_GB2312"/>
          <w:color w:val="000000" w:themeColor="text1"/>
          <w:sz w:val="28"/>
          <w:szCs w:val="28"/>
          <w14:textFill>
            <w14:solidFill>
              <w14:schemeClr w14:val="tx1"/>
            </w14:solidFill>
          </w14:textFill>
        </w:rPr>
        <w:t>继续完善公共法律服务平台建设，积极做好基层公共法律服务工作站建设。进一步提高法律援助民生工程质量，完善好村居法律顾问制度，进一步提升法律服务水平。</w:t>
      </w:r>
      <w:bookmarkStart w:id="251" w:name="_Toc26160"/>
    </w:p>
    <w:p w14:paraId="5D7CF6B0">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firstLine="560" w:firstLineChars="200"/>
        <w:textAlignment w:val="auto"/>
        <w:outlineLvl w:val="2"/>
        <w:rPr>
          <w:rFonts w:hint="eastAsia" w:ascii="楷体_GB2312" w:hAnsi="楷体_GB2312" w:eastAsia="楷体_GB2312" w:cs="楷体_GB2312"/>
          <w:b w:val="0"/>
          <w:bCs w:val="0"/>
          <w:color w:val="000000" w:themeColor="text1"/>
          <w:sz w:val="28"/>
          <w:szCs w:val="28"/>
          <w14:textFill>
            <w14:solidFill>
              <w14:schemeClr w14:val="tx1"/>
            </w14:solidFill>
          </w14:textFill>
        </w:rPr>
      </w:pPr>
      <w:r>
        <w:rPr>
          <w:rFonts w:hint="eastAsia" w:ascii="楷体_GB2312" w:hAnsi="楷体_GB2312" w:eastAsia="楷体_GB2312" w:cs="楷体_GB2312"/>
          <w:b w:val="0"/>
          <w:bCs w:val="0"/>
          <w:color w:val="000000" w:themeColor="text1"/>
          <w:sz w:val="28"/>
          <w:szCs w:val="28"/>
          <w:lang w:eastAsia="zh-CN"/>
          <w14:textFill>
            <w14:solidFill>
              <w14:schemeClr w14:val="tx1"/>
            </w14:solidFill>
          </w14:textFill>
        </w:rPr>
        <w:t>（三）</w:t>
      </w:r>
      <w:r>
        <w:rPr>
          <w:rFonts w:hint="eastAsia" w:ascii="楷体_GB2312" w:hAnsi="楷体_GB2312" w:eastAsia="楷体_GB2312" w:cs="楷体_GB2312"/>
          <w:b w:val="0"/>
          <w:bCs w:val="0"/>
          <w:color w:val="000000" w:themeColor="text1"/>
          <w:sz w:val="28"/>
          <w:szCs w:val="28"/>
          <w14:textFill>
            <w14:solidFill>
              <w14:schemeClr w14:val="tx1"/>
            </w14:solidFill>
          </w14:textFill>
        </w:rPr>
        <w:t>加强政府自身建设</w:t>
      </w:r>
      <w:bookmarkEnd w:id="251"/>
    </w:p>
    <w:p w14:paraId="6E786021">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firstLine="562" w:firstLineChars="200"/>
        <w:textAlignment w:val="auto"/>
        <w:outlineLvl w:val="2"/>
        <w:rPr>
          <w:rFonts w:hAnsi="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坚持从严治政，全面提升政府凝聚力。</w:t>
      </w:r>
      <w:r>
        <w:rPr>
          <w:rFonts w:hint="eastAsia" w:ascii="仿宋_GB2312" w:hAnsi="仿宋_GB2312" w:eastAsia="仿宋_GB2312" w:cs="仿宋_GB2312"/>
          <w:color w:val="000000" w:themeColor="text1"/>
          <w:sz w:val="28"/>
          <w:szCs w:val="28"/>
          <w14:textFill>
            <w14:solidFill>
              <w14:schemeClr w14:val="tx1"/>
            </w14:solidFill>
          </w14:textFill>
        </w:rPr>
        <w:t>坚持以习近平新时代中国特色社会主义思想为引领，坚决把思想和行动统一到上级和县委的决策部署上来，确保政令畅通、令行禁止。加强对权力运行的制约，紧盯目标抓落实，进一步凝聚起清河高质量赶超发展合力。</w:t>
      </w:r>
      <w:r>
        <w:rPr>
          <w:rFonts w:hint="eastAsia" w:ascii="仿宋_GB2312" w:hAnsi="仿宋_GB2312" w:eastAsia="仿宋_GB2312" w:cs="仿宋_GB2312"/>
          <w:b/>
          <w:bCs/>
          <w:color w:val="000000" w:themeColor="text1"/>
          <w:sz w:val="28"/>
          <w:szCs w:val="28"/>
          <w14:textFill>
            <w14:solidFill>
              <w14:schemeClr w14:val="tx1"/>
            </w14:solidFill>
          </w14:textFill>
        </w:rPr>
        <w:t>坚持依法行政，全面提升政府公信力。</w:t>
      </w:r>
      <w:r>
        <w:rPr>
          <w:rFonts w:hint="eastAsia" w:ascii="仿宋_GB2312" w:hAnsi="仿宋_GB2312" w:eastAsia="仿宋_GB2312" w:cs="仿宋_GB2312"/>
          <w:color w:val="000000" w:themeColor="text1"/>
          <w:sz w:val="28"/>
          <w:szCs w:val="28"/>
          <w14:textFill>
            <w14:solidFill>
              <w14:schemeClr w14:val="tx1"/>
            </w14:solidFill>
          </w14:textFill>
        </w:rPr>
        <w:t>始终秉承法治工作理念，严格遵照法定程序履行职能，大力推进行政公开；高质量办好人大建议和政协提案，依法接受人大、政协、社会舆论监督。落实“三重一大”集体决策制度，进一步提高科学民主依法决策水平。</w:t>
      </w:r>
      <w:r>
        <w:rPr>
          <w:rFonts w:hint="eastAsia" w:ascii="仿宋_GB2312" w:hAnsi="仿宋_GB2312" w:eastAsia="仿宋_GB2312" w:cs="仿宋_GB2312"/>
          <w:b/>
          <w:bCs/>
          <w:color w:val="000000" w:themeColor="text1"/>
          <w:sz w:val="28"/>
          <w:szCs w:val="28"/>
          <w14:textFill>
            <w14:solidFill>
              <w14:schemeClr w14:val="tx1"/>
            </w14:solidFill>
          </w14:textFill>
        </w:rPr>
        <w:t>坚持务实勤政，全面提升政府执行</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力</w:t>
      </w:r>
      <w:r>
        <w:rPr>
          <w:rFonts w:hint="eastAsia" w:ascii="仿宋_GB2312" w:hAnsi="仿宋_GB2312" w:eastAsia="仿宋_GB2312" w:cs="仿宋_GB2312"/>
          <w:b/>
          <w:bCs/>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坚持以人为本理念，畅通民意诉求渠道，聚焦群众关切，切实解决群众关切的痛点难点问题，注重跟踪问效，着力解决政策落实“最后一公里”问题，确保政府工作件件有落实、事事有回音。</w:t>
      </w:r>
      <w:r>
        <w:rPr>
          <w:rFonts w:hint="eastAsia" w:ascii="仿宋_GB2312" w:hAnsi="仿宋_GB2312" w:eastAsia="仿宋_GB2312" w:cs="仿宋_GB2312"/>
          <w:b/>
          <w:bCs/>
          <w:color w:val="000000" w:themeColor="text1"/>
          <w:sz w:val="28"/>
          <w:szCs w:val="28"/>
          <w14:textFill>
            <w14:solidFill>
              <w14:schemeClr w14:val="tx1"/>
            </w14:solidFill>
          </w14:textFill>
        </w:rPr>
        <w:t>坚持廉洁从政，全面提升政府战斗力。</w:t>
      </w:r>
      <w:r>
        <w:rPr>
          <w:rFonts w:hint="eastAsia" w:ascii="仿宋_GB2312" w:hAnsi="仿宋_GB2312" w:eastAsia="仿宋_GB2312" w:cs="仿宋_GB2312"/>
          <w:color w:val="000000" w:themeColor="text1"/>
          <w:sz w:val="28"/>
          <w:szCs w:val="28"/>
          <w14:textFill>
            <w14:solidFill>
              <w14:schemeClr w14:val="tx1"/>
            </w14:solidFill>
          </w14:textFill>
        </w:rPr>
        <w:t>认真履行政府系统党风廉政建设主体责任，严格执行廉洁从政各项规定，扎实推动廉政风险防控。牢树“过紧日子”思想，坚持厉行节约，严控“三公”经费。加强关领和关键环节监管，大力营造风清气正的干事创业环境</w:t>
      </w:r>
      <w:r>
        <w:rPr>
          <w:rFonts w:hint="eastAsia" w:hAnsi="仿宋_GB2312"/>
          <w:color w:val="000000" w:themeColor="text1"/>
          <w:sz w:val="28"/>
          <w:szCs w:val="28"/>
          <w14:textFill>
            <w14:solidFill>
              <w14:schemeClr w14:val="tx1"/>
            </w14:solidFill>
          </w14:textFill>
        </w:rPr>
        <w:t>。</w:t>
      </w:r>
    </w:p>
    <w:p w14:paraId="4D720A53">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firstLine="560" w:firstLineChars="200"/>
        <w:textAlignment w:val="auto"/>
        <w:outlineLvl w:val="2"/>
        <w:rPr>
          <w:rFonts w:hint="eastAsia" w:ascii="楷体_GB2312" w:hAnsi="楷体_GB2312" w:eastAsia="楷体_GB2312" w:cs="楷体_GB2312"/>
          <w:b w:val="0"/>
          <w:bCs w:val="0"/>
          <w:color w:val="000000" w:themeColor="text1"/>
          <w:sz w:val="28"/>
          <w:szCs w:val="28"/>
          <w14:textFill>
            <w14:solidFill>
              <w14:schemeClr w14:val="tx1"/>
            </w14:solidFill>
          </w14:textFill>
        </w:rPr>
      </w:pPr>
      <w:bookmarkStart w:id="252" w:name="_Toc5270"/>
      <w:r>
        <w:rPr>
          <w:rFonts w:hint="eastAsia" w:ascii="楷体_GB2312" w:hAnsi="楷体_GB2312" w:eastAsia="楷体_GB2312" w:cs="楷体_GB2312"/>
          <w:b w:val="0"/>
          <w:bCs w:val="0"/>
          <w:color w:val="000000" w:themeColor="text1"/>
          <w:sz w:val="28"/>
          <w:szCs w:val="28"/>
          <w:lang w:eastAsia="zh-CN"/>
          <w14:textFill>
            <w14:solidFill>
              <w14:schemeClr w14:val="tx1"/>
            </w14:solidFill>
          </w14:textFill>
        </w:rPr>
        <w:t>（四）</w:t>
      </w:r>
      <w:r>
        <w:rPr>
          <w:rFonts w:hint="eastAsia" w:ascii="楷体_GB2312" w:hAnsi="楷体_GB2312" w:eastAsia="楷体_GB2312" w:cs="楷体_GB2312"/>
          <w:b w:val="0"/>
          <w:bCs w:val="0"/>
          <w:color w:val="000000" w:themeColor="text1"/>
          <w:sz w:val="28"/>
          <w:szCs w:val="28"/>
          <w14:textFill>
            <w14:solidFill>
              <w14:schemeClr w14:val="tx1"/>
            </w14:solidFill>
          </w14:textFill>
        </w:rPr>
        <w:t>加快社会治理现代化</w:t>
      </w:r>
      <w:bookmarkEnd w:id="252"/>
    </w:p>
    <w:p w14:paraId="2315F3A5">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firstLine="560" w:firstLineChars="200"/>
        <w:textAlignment w:val="auto"/>
        <w:outlineLvl w:val="2"/>
        <w:rPr>
          <w:color w:val="000000" w:themeColor="text1"/>
          <w:sz w:val="28"/>
          <w:szCs w:val="28"/>
          <w14:textFill>
            <w14:solidFill>
              <w14:schemeClr w14:val="tx1"/>
            </w14:solidFill>
          </w14:textFill>
        </w:rPr>
      </w:pPr>
      <w:r>
        <w:rPr>
          <w:rFonts w:hint="eastAsia" w:ascii="仿宋_GB2312" w:hAnsi="仿宋_GB2312" w:eastAsia="仿宋_GB2312" w:cs="仿宋_GB2312"/>
          <w:b w:val="0"/>
          <w:bCs w:val="0"/>
          <w:color w:val="000000" w:themeColor="text1"/>
          <w:kern w:val="2"/>
          <w:sz w:val="28"/>
          <w:szCs w:val="28"/>
          <w:lang w:val="en-US" w:eastAsia="zh-CN" w:bidi="ar-SA"/>
          <w14:textFill>
            <w14:solidFill>
              <w14:schemeClr w14:val="tx1"/>
            </w14:solidFill>
          </w14:textFill>
        </w:rPr>
        <w:t>对接市级社会治理现代化试点，完善党委领导、政府主导、社会协同、法治保障的社会治理体制，健全城乡基层治理体系。</w:t>
      </w:r>
      <w:r>
        <w:rPr>
          <w:rFonts w:hint="eastAsia" w:ascii="仿宋_GB2312" w:hAnsi="仿宋_GB2312" w:eastAsia="仿宋_GB2312" w:cs="仿宋_GB2312"/>
          <w:b/>
          <w:bCs/>
          <w:color w:val="000000" w:themeColor="text1"/>
          <w:kern w:val="2"/>
          <w:sz w:val="28"/>
          <w:szCs w:val="28"/>
          <w:lang w:val="en-US" w:eastAsia="zh-CN" w:bidi="ar-SA"/>
          <w14:textFill>
            <w14:solidFill>
              <w14:schemeClr w14:val="tx1"/>
            </w14:solidFill>
          </w14:textFill>
        </w:rPr>
        <w:t>以党建为引领。</w:t>
      </w:r>
      <w:r>
        <w:rPr>
          <w:rFonts w:hint="eastAsia" w:ascii="仿宋_GB2312" w:hAnsi="仿宋_GB2312" w:eastAsia="仿宋_GB2312" w:cs="仿宋_GB2312"/>
          <w:b w:val="0"/>
          <w:bCs w:val="0"/>
          <w:color w:val="000000" w:themeColor="text1"/>
          <w:kern w:val="2"/>
          <w:sz w:val="28"/>
          <w:szCs w:val="28"/>
          <w:lang w:val="en-US" w:eastAsia="zh-CN" w:bidi="ar-SA"/>
          <w14:textFill>
            <w14:solidFill>
              <w14:schemeClr w14:val="tx1"/>
            </w14:solidFill>
          </w14:textFill>
        </w:rPr>
        <w:t>在基层治理中，充分发挥镇党组织联系群众、组织群众的作用，进一步强化基层党组织的战斗堡垒作用，维护基层社会和谐稳定。</w:t>
      </w:r>
      <w:r>
        <w:rPr>
          <w:rFonts w:hint="eastAsia" w:ascii="仿宋_GB2312" w:hAnsi="仿宋_GB2312" w:eastAsia="仿宋_GB2312" w:cs="仿宋_GB2312"/>
          <w:b/>
          <w:bCs/>
          <w:color w:val="000000" w:themeColor="text1"/>
          <w:kern w:val="2"/>
          <w:sz w:val="28"/>
          <w:szCs w:val="28"/>
          <w:lang w:val="en-US" w:eastAsia="zh-CN" w:bidi="ar-SA"/>
          <w14:textFill>
            <w14:solidFill>
              <w14:schemeClr w14:val="tx1"/>
            </w14:solidFill>
          </w14:textFill>
        </w:rPr>
        <w:t>以人民为中心。</w:t>
      </w:r>
      <w:r>
        <w:rPr>
          <w:rFonts w:hint="eastAsia" w:ascii="仿宋_GB2312" w:hAnsi="仿宋_GB2312" w:eastAsia="仿宋_GB2312" w:cs="仿宋_GB2312"/>
          <w:b w:val="0"/>
          <w:bCs w:val="0"/>
          <w:color w:val="000000" w:themeColor="text1"/>
          <w:kern w:val="2"/>
          <w:sz w:val="28"/>
          <w:szCs w:val="28"/>
          <w:lang w:val="en-US" w:eastAsia="zh-CN" w:bidi="ar-SA"/>
          <w14:textFill>
            <w14:solidFill>
              <w14:schemeClr w14:val="tx1"/>
            </w14:solidFill>
          </w14:textFill>
        </w:rPr>
        <w:t>不断健全充满活力的基层群众自治制度，充分激发人民群众的积极性、主动性、创造性，做到治理过程让群众参与、治理成效让群众评判、治理成果让群众共享。</w:t>
      </w:r>
      <w:r>
        <w:rPr>
          <w:rFonts w:hint="eastAsia" w:ascii="仿宋_GB2312" w:hAnsi="仿宋_GB2312" w:eastAsia="仿宋_GB2312" w:cs="仿宋_GB2312"/>
          <w:b/>
          <w:bCs/>
          <w:color w:val="000000" w:themeColor="text1"/>
          <w:kern w:val="2"/>
          <w:sz w:val="28"/>
          <w:szCs w:val="28"/>
          <w:lang w:val="en-US" w:eastAsia="zh-CN" w:bidi="ar-SA"/>
          <w14:textFill>
            <w14:solidFill>
              <w14:schemeClr w14:val="tx1"/>
            </w14:solidFill>
          </w14:textFill>
        </w:rPr>
        <w:t>以法治为依托。</w:t>
      </w:r>
      <w:r>
        <w:rPr>
          <w:rFonts w:hint="eastAsia" w:ascii="仿宋_GB2312" w:hAnsi="仿宋_GB2312" w:eastAsia="仿宋_GB2312" w:cs="仿宋_GB2312"/>
          <w:b w:val="0"/>
          <w:bCs w:val="0"/>
          <w:color w:val="000000" w:themeColor="text1"/>
          <w:kern w:val="2"/>
          <w:sz w:val="28"/>
          <w:szCs w:val="28"/>
          <w:lang w:val="en-US" w:eastAsia="zh-CN" w:bidi="ar-SA"/>
          <w14:textFill>
            <w14:solidFill>
              <w14:schemeClr w14:val="tx1"/>
            </w14:solidFill>
          </w14:textFill>
        </w:rPr>
        <w:t>贯彻落实全面依法治国基本方略，进一步完善法规制度、加强实施监督，提高依法执政、依法行政能力，用法治保障人民当家作主。</w:t>
      </w:r>
      <w:r>
        <w:rPr>
          <w:rFonts w:hint="eastAsia" w:ascii="仿宋_GB2312" w:hAnsi="仿宋_GB2312" w:eastAsia="仿宋_GB2312" w:cs="仿宋_GB2312"/>
          <w:b/>
          <w:bCs/>
          <w:color w:val="000000" w:themeColor="text1"/>
          <w:kern w:val="2"/>
          <w:sz w:val="28"/>
          <w:szCs w:val="28"/>
          <w:lang w:val="en-US" w:eastAsia="zh-CN" w:bidi="ar-SA"/>
          <w14:textFill>
            <w14:solidFill>
              <w14:schemeClr w14:val="tx1"/>
            </w14:solidFill>
          </w14:textFill>
        </w:rPr>
        <w:t>以科技为支撑。</w:t>
      </w:r>
      <w:r>
        <w:rPr>
          <w:rFonts w:hint="eastAsia" w:ascii="仿宋_GB2312" w:hAnsi="仿宋_GB2312" w:eastAsia="仿宋_GB2312" w:cs="仿宋_GB2312"/>
          <w:b w:val="0"/>
          <w:bCs w:val="0"/>
          <w:color w:val="000000" w:themeColor="text1"/>
          <w:kern w:val="2"/>
          <w:sz w:val="28"/>
          <w:szCs w:val="28"/>
          <w:lang w:val="en-US" w:eastAsia="zh-CN" w:bidi="ar-SA"/>
          <w14:textFill>
            <w14:solidFill>
              <w14:schemeClr w14:val="tx1"/>
            </w14:solidFill>
          </w14:textFill>
        </w:rPr>
        <w:t>依托信息技术优化治理工具，发掘和完善新的指标和评价体系，为城市治理和决策提供支持，提升县域社会治理的科学化、精细化、智能化水平，让科技更好服务人民美好生活。</w:t>
      </w:r>
    </w:p>
    <w:p w14:paraId="2B5B5F06">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ind w:firstLine="560" w:firstLineChars="200"/>
        <w:textAlignment w:val="auto"/>
        <w:outlineLvl w:val="2"/>
        <w:rPr>
          <w:rFonts w:ascii="楷体_GB2312" w:hAnsi="楷体_GB2312" w:eastAsia="楷体_GB2312" w:cs="楷体_GB2312"/>
          <w:b w:val="0"/>
          <w:bCs w:val="0"/>
          <w:color w:val="000000" w:themeColor="text1"/>
          <w:sz w:val="28"/>
          <w:szCs w:val="28"/>
          <w14:textFill>
            <w14:solidFill>
              <w14:schemeClr w14:val="tx1"/>
            </w14:solidFill>
          </w14:textFill>
        </w:rPr>
      </w:pPr>
      <w:bookmarkStart w:id="253" w:name="_Toc32509"/>
      <w:r>
        <w:rPr>
          <w:rFonts w:hint="eastAsia" w:ascii="楷体_GB2312" w:hAnsi="楷体_GB2312" w:eastAsia="楷体_GB2312" w:cs="楷体_GB2312"/>
          <w:b w:val="0"/>
          <w:bCs w:val="0"/>
          <w:color w:val="000000" w:themeColor="text1"/>
          <w:sz w:val="28"/>
          <w:szCs w:val="28"/>
          <w14:textFill>
            <w14:solidFill>
              <w14:schemeClr w14:val="tx1"/>
            </w14:solidFill>
          </w14:textFill>
        </w:rPr>
        <w:t>（五）维护社会稳定</w:t>
      </w:r>
      <w:bookmarkEnd w:id="253"/>
    </w:p>
    <w:p w14:paraId="37EDDB2E">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ind w:firstLine="560" w:firstLineChars="200"/>
        <w:textAlignment w:val="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推进落实市域社会治理现代化试点工作，创新发展以“鉴调一体”为代表的新时代“枫桥经验”清河版，打造源头防控、排查梳理、纠纷化解、应急处置的社会矛盾综合治理机制。健全重大决策社会稳定评估机制，确保有效防范和妥善处置群体性事件。加强和改进信访工作，完善领导干部包联和接访下访制度，强化源头预防化解，及时解决群众的合理诉求；提升初信初访一次办结率，确保做到“北京不去、河北不聚”。坚持依法治访，提升信访工作规范化、科学化、法治化水平。健全社会心理服务体系和危机干预机制。坚持专群结合、群防群治，加强社会治安防控体系建设。扎实推进“平安清河”建设，新建和改造13个智能化派出所，健全扫黑除恶常态化机制，坚决防范和打击暴力恐怖、黑恶势力、新型网络犯罪，坚决防止发生重特大刑事案件和公共安全事件，保持社会和谐稳定。深化政法队伍教育整顿，拓展“一案三查”成果，强化人防物防技防，筑牢“三道防线”，做好重大活动安保工作。“十四五”期间，力争全县规范化调委会达到100%，全县人民调解成功率达到98%以上。</w:t>
      </w:r>
    </w:p>
    <w:p w14:paraId="1C2098B6">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ind w:firstLine="560" w:firstLineChars="200"/>
        <w:textAlignment w:val="auto"/>
        <w:outlineLvl w:val="2"/>
        <w:rPr>
          <w:rFonts w:ascii="楷体_GB2312" w:hAnsi="楷体_GB2312" w:eastAsia="楷体_GB2312" w:cs="楷体_GB2312"/>
          <w:b w:val="0"/>
          <w:bCs w:val="0"/>
          <w:color w:val="000000" w:themeColor="text1"/>
          <w:sz w:val="28"/>
          <w:szCs w:val="28"/>
          <w14:textFill>
            <w14:solidFill>
              <w14:schemeClr w14:val="tx1"/>
            </w14:solidFill>
          </w14:textFill>
        </w:rPr>
      </w:pPr>
      <w:bookmarkStart w:id="254" w:name="_Toc15471"/>
      <w:r>
        <w:rPr>
          <w:rFonts w:hint="eastAsia" w:ascii="楷体_GB2312" w:hAnsi="楷体_GB2312" w:eastAsia="楷体_GB2312" w:cs="楷体_GB2312"/>
          <w:b w:val="0"/>
          <w:bCs w:val="0"/>
          <w:color w:val="000000" w:themeColor="text1"/>
          <w:sz w:val="28"/>
          <w:szCs w:val="28"/>
          <w14:textFill>
            <w14:solidFill>
              <w14:schemeClr w14:val="tx1"/>
            </w14:solidFill>
          </w14:textFill>
        </w:rPr>
        <w:t>（六）保障人民安全</w:t>
      </w:r>
      <w:bookmarkEnd w:id="254"/>
    </w:p>
    <w:p w14:paraId="38E2D9FB">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ind w:firstLine="560" w:firstLineChars="200"/>
        <w:textAlignment w:val="auto"/>
        <w:rPr>
          <w:rStyle w:val="31"/>
          <w:rFonts w:ascii="Times New Roman" w:hAnsi="Times New Roman" w:cs="Times New Roman"/>
          <w:color w:val="000000" w:themeColor="text1"/>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坚持人民至上、生命至上，把保护人民生命安全摆在首位，健全公共安全隐患排查和化解机制。深入推进安全生产专项整治三年行动，完善和落实安全生产责任制，加强安全生产监管执法，持续开展危险化学品、建筑施工、交通、消防等重点行业领域专项整治，严防重特大安全事故。健全追溯机制</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强化源头治理和全过程监管，提高食品药品安全保障水平。完善应急处置机制，提高快速反应能力，加强应急物资保障体系建设，提升洪涝干旱、森林火灾、地震等自然灾害防御工程标准，提高防灾、减灾、抗灾、救灾能力。</w:t>
      </w:r>
      <w:bookmarkStart w:id="255" w:name="_Toc16433"/>
      <w:bookmarkStart w:id="256" w:name="_Toc30361"/>
      <w:r>
        <w:rPr>
          <w:rStyle w:val="31"/>
          <w:rFonts w:ascii="Times New Roman" w:hAnsi="Times New Roman" w:cs="Times New Roman"/>
          <w:color w:val="000000" w:themeColor="text1"/>
          <w14:textFill>
            <w14:solidFill>
              <w14:schemeClr w14:val="tx1"/>
            </w14:solidFill>
          </w14:textFill>
        </w:rPr>
        <w:br w:type="page"/>
      </w:r>
    </w:p>
    <w:p w14:paraId="2D0E2C09">
      <w:pPr>
        <w:pStyle w:val="4"/>
        <w:keepNext w:val="0"/>
        <w:keepLines w:val="0"/>
        <w:pageBreakBefore w:val="0"/>
        <w:widowControl w:val="0"/>
        <w:kinsoku/>
        <w:wordWrap/>
        <w:overflowPunct/>
        <w:topLinePunct w:val="0"/>
        <w:autoSpaceDE/>
        <w:autoSpaceDN/>
        <w:bidi w:val="0"/>
        <w:spacing w:before="0" w:after="0" w:line="600" w:lineRule="exact"/>
        <w:jc w:val="center"/>
        <w:textAlignment w:val="auto"/>
        <w:rPr>
          <w:rFonts w:ascii="宋体" w:hAnsi="宋体" w:eastAsia="宋体" w:cs="宋体"/>
          <w:color w:val="000000" w:themeColor="text1"/>
          <w:sz w:val="36"/>
          <w:szCs w:val="20"/>
          <w14:textFill>
            <w14:solidFill>
              <w14:schemeClr w14:val="tx1"/>
            </w14:solidFill>
          </w14:textFill>
        </w:rPr>
      </w:pPr>
      <w:bookmarkStart w:id="257" w:name="_Toc18671"/>
      <w:bookmarkStart w:id="258" w:name="_Toc13783"/>
      <w:bookmarkStart w:id="259" w:name="_Toc28943"/>
      <w:r>
        <w:rPr>
          <w:rFonts w:hint="eastAsia" w:ascii="宋体" w:hAnsi="宋体" w:eastAsia="宋体" w:cs="宋体"/>
          <w:color w:val="000000" w:themeColor="text1"/>
          <w:sz w:val="36"/>
          <w:szCs w:val="20"/>
          <w14:textFill>
            <w14:solidFill>
              <w14:schemeClr w14:val="tx1"/>
            </w14:solidFill>
          </w14:textFill>
        </w:rPr>
        <w:t>第六章  “十四五”时期规划落实的保障措施</w:t>
      </w:r>
      <w:bookmarkEnd w:id="255"/>
      <w:bookmarkEnd w:id="257"/>
      <w:bookmarkEnd w:id="258"/>
      <w:bookmarkEnd w:id="259"/>
    </w:p>
    <w:bookmarkEnd w:id="256"/>
    <w:p w14:paraId="08AB8145">
      <w:pPr>
        <w:pStyle w:val="23"/>
        <w:keepNext w:val="0"/>
        <w:keepLines w:val="0"/>
        <w:pageBreakBefore w:val="0"/>
        <w:widowControl w:val="0"/>
        <w:kinsoku/>
        <w:wordWrap/>
        <w:overflowPunct/>
        <w:topLinePunct w:val="0"/>
        <w:autoSpaceDE/>
        <w:autoSpaceDN/>
        <w:bidi w:val="0"/>
        <w:spacing w:before="0" w:beforeAutospacing="0" w:after="0" w:afterAutospacing="0" w:line="540" w:lineRule="exact"/>
        <w:ind w:firstLine="560" w:firstLineChars="200"/>
        <w:jc w:val="both"/>
        <w:textAlignment w:val="auto"/>
        <w:rPr>
          <w:rFonts w:ascii="仿宋_GB2312" w:hAnsi="仿宋_GB2312" w:eastAsia="仿宋_GB2312" w:cs="仿宋_GB2312"/>
          <w:color w:val="000000" w:themeColor="text1"/>
          <w:kern w:val="2"/>
          <w:sz w:val="28"/>
          <w:szCs w:val="28"/>
          <w14:textFill>
            <w14:solidFill>
              <w14:schemeClr w14:val="tx1"/>
            </w14:solidFill>
          </w14:textFill>
        </w:rPr>
      </w:pPr>
      <w:bookmarkStart w:id="260" w:name="_Toc46068285"/>
    </w:p>
    <w:p w14:paraId="3767F4BF">
      <w:pPr>
        <w:pStyle w:val="23"/>
        <w:keepNext w:val="0"/>
        <w:keepLines w:val="0"/>
        <w:pageBreakBefore w:val="0"/>
        <w:widowControl w:val="0"/>
        <w:kinsoku/>
        <w:wordWrap/>
        <w:overflowPunct/>
        <w:topLinePunct w:val="0"/>
        <w:autoSpaceDE/>
        <w:autoSpaceDN/>
        <w:bidi w:val="0"/>
        <w:spacing w:before="0" w:beforeAutospacing="0" w:after="0" w:afterAutospacing="0" w:line="540" w:lineRule="exact"/>
        <w:ind w:firstLine="560" w:firstLineChars="200"/>
        <w:jc w:val="both"/>
        <w:textAlignment w:val="auto"/>
        <w:rPr>
          <w:rFonts w:ascii="仿宋_GB2312" w:hAnsi="仿宋_GB2312" w:eastAsia="仿宋_GB2312" w:cs="仿宋_GB2312"/>
          <w:color w:val="000000" w:themeColor="text1"/>
          <w:kern w:val="2"/>
          <w:sz w:val="28"/>
          <w:szCs w:val="28"/>
          <w14:textFill>
            <w14:solidFill>
              <w14:schemeClr w14:val="tx1"/>
            </w14:solidFill>
          </w14:textFill>
        </w:rPr>
      </w:pPr>
      <w:r>
        <w:rPr>
          <w:rFonts w:hint="eastAsia" w:ascii="仿宋_GB2312" w:hAnsi="仿宋_GB2312" w:eastAsia="仿宋_GB2312" w:cs="仿宋_GB2312"/>
          <w:color w:val="000000" w:themeColor="text1"/>
          <w:kern w:val="2"/>
          <w:sz w:val="28"/>
          <w:szCs w:val="28"/>
          <w14:textFill>
            <w14:solidFill>
              <w14:schemeClr w14:val="tx1"/>
            </w14:solidFill>
          </w14:textFill>
        </w:rPr>
        <w:t>规划实施过程中，</w:t>
      </w:r>
      <w:bookmarkEnd w:id="260"/>
      <w:r>
        <w:rPr>
          <w:rFonts w:hint="eastAsia" w:ascii="仿宋_GB2312" w:hAnsi="仿宋_GB2312" w:eastAsia="仿宋_GB2312" w:cs="仿宋_GB2312"/>
          <w:color w:val="000000" w:themeColor="text1"/>
          <w:kern w:val="2"/>
          <w:sz w:val="28"/>
          <w:szCs w:val="28"/>
          <w14:textFill>
            <w14:solidFill>
              <w14:schemeClr w14:val="tx1"/>
            </w14:solidFill>
          </w14:textFill>
        </w:rPr>
        <w:t>要坚持党总揽全局、协调各方的领导核心作用，在各级党委的坚强领导下，更好履行政府责任、提升政府效能，建立健全实施机制，形成全体人民群策群力、共建共享的生动局面。要加强统筹协调，强化责任落实，健全规划实施保障体系，全面开展和推进各项工作，确保“十四五”规划的落地落实。</w:t>
      </w:r>
    </w:p>
    <w:p w14:paraId="50DC580E">
      <w:pPr>
        <w:pStyle w:val="5"/>
        <w:keepNext w:val="0"/>
        <w:keepLines w:val="0"/>
        <w:pageBreakBefore w:val="0"/>
        <w:widowControl w:val="0"/>
        <w:kinsoku/>
        <w:wordWrap/>
        <w:overflowPunct/>
        <w:topLinePunct w:val="0"/>
        <w:autoSpaceDE/>
        <w:autoSpaceDN/>
        <w:bidi w:val="0"/>
        <w:spacing w:before="0" w:after="0" w:line="540" w:lineRule="exact"/>
        <w:ind w:firstLine="560" w:firstLineChars="200"/>
        <w:textAlignment w:val="auto"/>
        <w:rPr>
          <w:rFonts w:ascii="黑体" w:hAnsi="黑体" w:eastAsia="黑体"/>
          <w:b w:val="0"/>
          <w:bCs w:val="0"/>
          <w:color w:val="000000" w:themeColor="text1"/>
          <w:sz w:val="28"/>
          <w:szCs w:val="28"/>
          <w14:textFill>
            <w14:solidFill>
              <w14:schemeClr w14:val="tx1"/>
            </w14:solidFill>
          </w14:textFill>
        </w:rPr>
      </w:pPr>
      <w:bookmarkStart w:id="261" w:name="_Toc32088"/>
      <w:bookmarkStart w:id="262" w:name="_Toc4363"/>
      <w:bookmarkStart w:id="263" w:name="_Toc21361"/>
      <w:bookmarkStart w:id="264" w:name="_Toc13116"/>
      <w:bookmarkStart w:id="265" w:name="_Toc25717"/>
      <w:r>
        <w:rPr>
          <w:rFonts w:hint="eastAsia" w:ascii="黑体" w:hAnsi="黑体" w:eastAsia="黑体"/>
          <w:b w:val="0"/>
          <w:bCs w:val="0"/>
          <w:color w:val="000000" w:themeColor="text1"/>
          <w:sz w:val="28"/>
          <w:szCs w:val="28"/>
          <w14:textFill>
            <w14:solidFill>
              <w14:schemeClr w14:val="tx1"/>
            </w14:solidFill>
          </w14:textFill>
        </w:rPr>
        <w:t>一、明确责任主体推进机制</w:t>
      </w:r>
      <w:bookmarkEnd w:id="261"/>
      <w:bookmarkEnd w:id="262"/>
      <w:bookmarkEnd w:id="263"/>
      <w:bookmarkEnd w:id="264"/>
      <w:bookmarkEnd w:id="265"/>
    </w:p>
    <w:p w14:paraId="3F421E30">
      <w:pPr>
        <w:pStyle w:val="6"/>
        <w:keepNext w:val="0"/>
        <w:keepLines w:val="0"/>
        <w:pageBreakBefore w:val="0"/>
        <w:widowControl w:val="0"/>
        <w:kinsoku/>
        <w:wordWrap/>
        <w:overflowPunct/>
        <w:topLinePunct w:val="0"/>
        <w:autoSpaceDE/>
        <w:autoSpaceDN/>
        <w:bidi w:val="0"/>
        <w:spacing w:before="0" w:after="0" w:line="540" w:lineRule="exact"/>
        <w:ind w:firstLine="560" w:firstLineChars="200"/>
        <w:textAlignment w:val="auto"/>
        <w:rPr>
          <w:rFonts w:ascii="楷体_GB2312" w:hAnsi="楷体_GB2312" w:eastAsia="楷体_GB2312" w:cs="楷体_GB2312"/>
          <w:b w:val="0"/>
          <w:bCs w:val="0"/>
          <w:color w:val="000000" w:themeColor="text1"/>
          <w:sz w:val="28"/>
          <w:szCs w:val="28"/>
          <w14:textFill>
            <w14:solidFill>
              <w14:schemeClr w14:val="tx1"/>
            </w14:solidFill>
          </w14:textFill>
        </w:rPr>
      </w:pPr>
      <w:bookmarkStart w:id="266" w:name="_Toc31988"/>
      <w:bookmarkStart w:id="267" w:name="_Toc29915"/>
      <w:bookmarkStart w:id="268" w:name="_Toc19616"/>
      <w:bookmarkStart w:id="269" w:name="_Toc28894"/>
      <w:r>
        <w:rPr>
          <w:rFonts w:hint="eastAsia" w:ascii="楷体_GB2312" w:hAnsi="楷体_GB2312" w:eastAsia="楷体_GB2312" w:cs="楷体_GB2312"/>
          <w:b w:val="0"/>
          <w:bCs w:val="0"/>
          <w:color w:val="000000" w:themeColor="text1"/>
          <w:sz w:val="28"/>
          <w:szCs w:val="28"/>
          <w14:textFill>
            <w14:solidFill>
              <w14:schemeClr w14:val="tx1"/>
            </w14:solidFill>
          </w14:textFill>
        </w:rPr>
        <w:t>（一）明确目标任务分工</w:t>
      </w:r>
      <w:bookmarkEnd w:id="266"/>
      <w:bookmarkEnd w:id="267"/>
      <w:bookmarkEnd w:id="268"/>
      <w:bookmarkEnd w:id="269"/>
    </w:p>
    <w:p w14:paraId="581650A5">
      <w:pPr>
        <w:pStyle w:val="23"/>
        <w:keepNext w:val="0"/>
        <w:keepLines w:val="0"/>
        <w:pageBreakBefore w:val="0"/>
        <w:widowControl w:val="0"/>
        <w:kinsoku/>
        <w:wordWrap/>
        <w:overflowPunct/>
        <w:topLinePunct w:val="0"/>
        <w:autoSpaceDE/>
        <w:autoSpaceDN/>
        <w:bidi w:val="0"/>
        <w:spacing w:before="0" w:beforeAutospacing="0" w:after="0" w:afterAutospacing="0" w:line="540" w:lineRule="exact"/>
        <w:ind w:firstLine="560" w:firstLineChars="200"/>
        <w:jc w:val="both"/>
        <w:textAlignment w:val="auto"/>
        <w:rPr>
          <w:rFonts w:ascii="仿宋_GB2312" w:hAnsi="仿宋_GB2312" w:eastAsia="仿宋_GB2312" w:cs="仿宋_GB2312"/>
          <w:color w:val="000000" w:themeColor="text1"/>
          <w:kern w:val="2"/>
          <w:sz w:val="28"/>
          <w:szCs w:val="28"/>
          <w14:textFill>
            <w14:solidFill>
              <w14:schemeClr w14:val="tx1"/>
            </w14:solidFill>
          </w14:textFill>
        </w:rPr>
      </w:pPr>
      <w:r>
        <w:rPr>
          <w:rFonts w:ascii="仿宋_GB2312" w:hAnsi="仿宋_GB2312" w:eastAsia="仿宋_GB2312" w:cs="仿宋_GB2312"/>
          <w:color w:val="000000" w:themeColor="text1"/>
          <w:kern w:val="2"/>
          <w:sz w:val="28"/>
          <w:szCs w:val="28"/>
          <w14:textFill>
            <w14:solidFill>
              <w14:schemeClr w14:val="tx1"/>
            </w14:solidFill>
          </w14:textFill>
        </w:rPr>
        <w:t>各</w:t>
      </w:r>
      <w:r>
        <w:rPr>
          <w:rFonts w:hint="eastAsia" w:ascii="仿宋_GB2312" w:hAnsi="仿宋_GB2312" w:eastAsia="仿宋_GB2312" w:cs="仿宋_GB2312"/>
          <w:color w:val="000000" w:themeColor="text1"/>
          <w:kern w:val="2"/>
          <w:sz w:val="28"/>
          <w:szCs w:val="28"/>
          <w:lang w:eastAsia="zh-CN"/>
          <w14:textFill>
            <w14:solidFill>
              <w14:schemeClr w14:val="tx1"/>
            </w14:solidFill>
          </w14:textFill>
        </w:rPr>
        <w:t>相关单位</w:t>
      </w:r>
      <w:r>
        <w:rPr>
          <w:rFonts w:ascii="仿宋_GB2312" w:hAnsi="仿宋_GB2312" w:eastAsia="仿宋_GB2312" w:cs="仿宋_GB2312"/>
          <w:color w:val="000000" w:themeColor="text1"/>
          <w:kern w:val="2"/>
          <w:sz w:val="28"/>
          <w:szCs w:val="28"/>
          <w14:textFill>
            <w14:solidFill>
              <w14:schemeClr w14:val="tx1"/>
            </w14:solidFill>
          </w14:textFill>
        </w:rPr>
        <w:t>要根据职责分工，</w:t>
      </w:r>
      <w:r>
        <w:rPr>
          <w:rFonts w:hint="eastAsia" w:ascii="仿宋_GB2312" w:hAnsi="仿宋_GB2312" w:eastAsia="仿宋_GB2312" w:cs="仿宋_GB2312"/>
          <w:color w:val="000000" w:themeColor="text1"/>
          <w:kern w:val="2"/>
          <w:sz w:val="28"/>
          <w:szCs w:val="28"/>
          <w:lang w:eastAsia="zh-CN"/>
          <w14:textFill>
            <w14:solidFill>
              <w14:schemeClr w14:val="tx1"/>
            </w14:solidFill>
          </w14:textFill>
        </w:rPr>
        <w:t>对标</w:t>
      </w:r>
      <w:r>
        <w:rPr>
          <w:rFonts w:ascii="仿宋_GB2312" w:hAnsi="仿宋_GB2312" w:eastAsia="仿宋_GB2312" w:cs="仿宋_GB2312"/>
          <w:color w:val="000000" w:themeColor="text1"/>
          <w:kern w:val="2"/>
          <w:sz w:val="28"/>
          <w:szCs w:val="28"/>
          <w14:textFill>
            <w14:solidFill>
              <w14:schemeClr w14:val="tx1"/>
            </w14:solidFill>
          </w14:textFill>
        </w:rPr>
        <w:t>《</w:t>
      </w:r>
      <w:r>
        <w:rPr>
          <w:rFonts w:hint="eastAsia" w:ascii="仿宋_GB2312" w:hAnsi="仿宋_GB2312" w:eastAsia="仿宋_GB2312" w:cs="仿宋_GB2312"/>
          <w:color w:val="000000" w:themeColor="text1"/>
          <w:kern w:val="2"/>
          <w:sz w:val="28"/>
          <w:szCs w:val="28"/>
          <w14:textFill>
            <w14:solidFill>
              <w14:schemeClr w14:val="tx1"/>
            </w14:solidFill>
          </w14:textFill>
        </w:rPr>
        <w:t>规划纲要</w:t>
      </w:r>
      <w:r>
        <w:rPr>
          <w:rFonts w:ascii="仿宋_GB2312" w:hAnsi="仿宋_GB2312" w:eastAsia="仿宋_GB2312" w:cs="仿宋_GB2312"/>
          <w:color w:val="000000" w:themeColor="text1"/>
          <w:kern w:val="2"/>
          <w:sz w:val="28"/>
          <w:szCs w:val="28"/>
          <w14:textFill>
            <w14:solidFill>
              <w14:schemeClr w14:val="tx1"/>
            </w14:solidFill>
          </w14:textFill>
        </w:rPr>
        <w:t>》</w:t>
      </w:r>
      <w:r>
        <w:rPr>
          <w:rFonts w:hint="eastAsia" w:ascii="仿宋_GB2312" w:hAnsi="仿宋_GB2312" w:eastAsia="仿宋_GB2312" w:cs="仿宋_GB2312"/>
          <w:color w:val="000000" w:themeColor="text1"/>
          <w:kern w:val="2"/>
          <w:sz w:val="28"/>
          <w:szCs w:val="28"/>
          <w:lang w:eastAsia="zh-CN"/>
          <w14:textFill>
            <w14:solidFill>
              <w14:schemeClr w14:val="tx1"/>
            </w14:solidFill>
          </w14:textFill>
        </w:rPr>
        <w:t>，制定</w:t>
      </w:r>
      <w:r>
        <w:rPr>
          <w:rFonts w:ascii="仿宋_GB2312" w:hAnsi="仿宋_GB2312" w:eastAsia="仿宋_GB2312" w:cs="仿宋_GB2312"/>
          <w:color w:val="000000" w:themeColor="text1"/>
          <w:kern w:val="2"/>
          <w:sz w:val="28"/>
          <w:szCs w:val="28"/>
          <w14:textFill>
            <w14:solidFill>
              <w14:schemeClr w14:val="tx1"/>
            </w14:solidFill>
          </w14:textFill>
        </w:rPr>
        <w:t>本</w:t>
      </w:r>
      <w:r>
        <w:rPr>
          <w:rFonts w:hint="eastAsia" w:ascii="仿宋_GB2312" w:hAnsi="仿宋_GB2312" w:eastAsia="仿宋_GB2312" w:cs="仿宋_GB2312"/>
          <w:color w:val="000000" w:themeColor="text1"/>
          <w:kern w:val="2"/>
          <w:sz w:val="28"/>
          <w:szCs w:val="28"/>
          <w:lang w:eastAsia="zh-CN"/>
          <w14:textFill>
            <w14:solidFill>
              <w14:schemeClr w14:val="tx1"/>
            </w14:solidFill>
          </w14:textFill>
        </w:rPr>
        <w:t>单位</w:t>
      </w:r>
      <w:r>
        <w:rPr>
          <w:rFonts w:ascii="仿宋_GB2312" w:hAnsi="仿宋_GB2312" w:eastAsia="仿宋_GB2312" w:cs="仿宋_GB2312"/>
          <w:color w:val="000000" w:themeColor="text1"/>
          <w:kern w:val="2"/>
          <w:sz w:val="28"/>
          <w:szCs w:val="28"/>
          <w14:textFill>
            <w14:solidFill>
              <w14:schemeClr w14:val="tx1"/>
            </w14:solidFill>
          </w14:textFill>
        </w:rPr>
        <w:t>的主要目标和任务实施方案，明确责任主体、实施时间表和路线图，确保各项目标任务落地。</w:t>
      </w:r>
    </w:p>
    <w:p w14:paraId="03B4CF6B">
      <w:pPr>
        <w:pStyle w:val="6"/>
        <w:keepNext w:val="0"/>
        <w:keepLines w:val="0"/>
        <w:pageBreakBefore w:val="0"/>
        <w:widowControl w:val="0"/>
        <w:kinsoku/>
        <w:wordWrap/>
        <w:overflowPunct/>
        <w:topLinePunct w:val="0"/>
        <w:autoSpaceDE/>
        <w:autoSpaceDN/>
        <w:bidi w:val="0"/>
        <w:spacing w:before="0" w:after="0" w:line="540" w:lineRule="exact"/>
        <w:ind w:firstLine="560" w:firstLineChars="200"/>
        <w:textAlignment w:val="auto"/>
        <w:rPr>
          <w:rFonts w:ascii="楷体_GB2312" w:hAnsi="楷体_GB2312" w:eastAsia="楷体_GB2312" w:cs="楷体_GB2312"/>
          <w:b w:val="0"/>
          <w:bCs w:val="0"/>
          <w:color w:val="000000" w:themeColor="text1"/>
          <w:sz w:val="28"/>
          <w:szCs w:val="28"/>
          <w14:textFill>
            <w14:solidFill>
              <w14:schemeClr w14:val="tx1"/>
            </w14:solidFill>
          </w14:textFill>
        </w:rPr>
      </w:pPr>
      <w:bookmarkStart w:id="270" w:name="_Toc11709"/>
      <w:bookmarkStart w:id="271" w:name="_Toc19580"/>
      <w:bookmarkStart w:id="272" w:name="_Toc18590"/>
      <w:bookmarkStart w:id="273" w:name="_Toc25444"/>
      <w:r>
        <w:rPr>
          <w:rFonts w:hint="eastAsia" w:ascii="楷体_GB2312" w:hAnsi="楷体_GB2312" w:eastAsia="楷体_GB2312" w:cs="楷体_GB2312"/>
          <w:b w:val="0"/>
          <w:bCs w:val="0"/>
          <w:color w:val="000000" w:themeColor="text1"/>
          <w:sz w:val="28"/>
          <w:szCs w:val="28"/>
          <w14:textFill>
            <w14:solidFill>
              <w14:schemeClr w14:val="tx1"/>
            </w14:solidFill>
          </w14:textFill>
        </w:rPr>
        <w:t>（二）建立责任推进机制</w:t>
      </w:r>
      <w:bookmarkEnd w:id="270"/>
      <w:bookmarkEnd w:id="271"/>
      <w:bookmarkEnd w:id="272"/>
      <w:bookmarkEnd w:id="273"/>
    </w:p>
    <w:p w14:paraId="58C28160">
      <w:pPr>
        <w:pStyle w:val="23"/>
        <w:keepNext w:val="0"/>
        <w:keepLines w:val="0"/>
        <w:pageBreakBefore w:val="0"/>
        <w:widowControl w:val="0"/>
        <w:kinsoku/>
        <w:wordWrap/>
        <w:overflowPunct/>
        <w:topLinePunct w:val="0"/>
        <w:autoSpaceDE/>
        <w:autoSpaceDN/>
        <w:bidi w:val="0"/>
        <w:spacing w:before="0" w:beforeAutospacing="0" w:after="0" w:afterAutospacing="0" w:line="540" w:lineRule="exact"/>
        <w:ind w:firstLine="560" w:firstLineChars="200"/>
        <w:jc w:val="both"/>
        <w:textAlignment w:val="auto"/>
        <w:rPr>
          <w:rFonts w:ascii="Times New Roman" w:hAnsi="Times New Roman" w:eastAsia="仿宋_GB2312" w:cs="Times New Roman"/>
          <w:color w:val="000000" w:themeColor="text1"/>
          <w:kern w:val="2"/>
          <w:sz w:val="28"/>
          <w:szCs w:val="28"/>
          <w14:textFill>
            <w14:solidFill>
              <w14:schemeClr w14:val="tx1"/>
            </w14:solidFill>
          </w14:textFill>
        </w:rPr>
      </w:pPr>
      <w:r>
        <w:rPr>
          <w:rFonts w:ascii="仿宋_GB2312" w:hAnsi="仿宋_GB2312" w:eastAsia="仿宋_GB2312" w:cs="仿宋_GB2312"/>
          <w:color w:val="000000" w:themeColor="text1"/>
          <w:kern w:val="2"/>
          <w:sz w:val="28"/>
          <w:szCs w:val="28"/>
          <w14:textFill>
            <w14:solidFill>
              <w14:schemeClr w14:val="tx1"/>
            </w14:solidFill>
          </w14:textFill>
        </w:rPr>
        <w:t>各</w:t>
      </w:r>
      <w:r>
        <w:rPr>
          <w:rFonts w:hint="eastAsia" w:ascii="仿宋_GB2312" w:hAnsi="仿宋_GB2312" w:eastAsia="仿宋_GB2312" w:cs="仿宋_GB2312"/>
          <w:color w:val="000000" w:themeColor="text1"/>
          <w:kern w:val="2"/>
          <w:sz w:val="28"/>
          <w:szCs w:val="28"/>
          <w:lang w:eastAsia="zh-CN"/>
          <w14:textFill>
            <w14:solidFill>
              <w14:schemeClr w14:val="tx1"/>
            </w14:solidFill>
          </w14:textFill>
        </w:rPr>
        <w:t>相关单位</w:t>
      </w:r>
      <w:r>
        <w:rPr>
          <w:rFonts w:ascii="Times New Roman" w:hAnsi="Times New Roman" w:eastAsia="仿宋_GB2312" w:cs="Times New Roman"/>
          <w:color w:val="000000" w:themeColor="text1"/>
          <w:kern w:val="2"/>
          <w:sz w:val="28"/>
          <w:szCs w:val="28"/>
          <w14:textFill>
            <w14:solidFill>
              <w14:schemeClr w14:val="tx1"/>
            </w14:solidFill>
          </w14:textFill>
        </w:rPr>
        <w:t>要将《</w:t>
      </w:r>
      <w:r>
        <w:rPr>
          <w:rFonts w:hint="eastAsia" w:ascii="Times New Roman" w:hAnsi="Times New Roman" w:eastAsia="仿宋_GB2312" w:cs="Times New Roman"/>
          <w:color w:val="000000" w:themeColor="text1"/>
          <w:kern w:val="2"/>
          <w:sz w:val="28"/>
          <w:szCs w:val="28"/>
          <w14:textFill>
            <w14:solidFill>
              <w14:schemeClr w14:val="tx1"/>
            </w14:solidFill>
          </w14:textFill>
        </w:rPr>
        <w:t>规划纲要</w:t>
      </w:r>
      <w:r>
        <w:rPr>
          <w:rFonts w:ascii="Times New Roman" w:hAnsi="Times New Roman" w:eastAsia="仿宋_GB2312" w:cs="Times New Roman"/>
          <w:color w:val="000000" w:themeColor="text1"/>
          <w:kern w:val="2"/>
          <w:sz w:val="28"/>
          <w:szCs w:val="28"/>
          <w14:textFill>
            <w14:solidFill>
              <w14:schemeClr w14:val="tx1"/>
            </w14:solidFill>
          </w14:textFill>
        </w:rPr>
        <w:t>》重大任务落实情况和实施计划列入党委</w:t>
      </w:r>
      <w:r>
        <w:rPr>
          <w:rFonts w:hint="eastAsia" w:ascii="Times New Roman" w:hAnsi="Times New Roman" w:eastAsia="仿宋_GB2312" w:cs="Times New Roman"/>
          <w:color w:val="000000" w:themeColor="text1"/>
          <w:kern w:val="2"/>
          <w:sz w:val="28"/>
          <w:szCs w:val="28"/>
          <w14:textFill>
            <w14:solidFill>
              <w14:schemeClr w14:val="tx1"/>
            </w14:solidFill>
          </w14:textFill>
        </w:rPr>
        <w:t>（</w:t>
      </w:r>
      <w:r>
        <w:rPr>
          <w:rFonts w:ascii="Times New Roman" w:hAnsi="Times New Roman" w:eastAsia="仿宋_GB2312" w:cs="Times New Roman"/>
          <w:color w:val="000000" w:themeColor="text1"/>
          <w:kern w:val="2"/>
          <w:sz w:val="28"/>
          <w:szCs w:val="28"/>
          <w14:textFill>
            <w14:solidFill>
              <w14:schemeClr w14:val="tx1"/>
            </w14:solidFill>
          </w14:textFill>
        </w:rPr>
        <w:t>党组</w:t>
      </w:r>
      <w:r>
        <w:rPr>
          <w:rFonts w:hint="eastAsia" w:ascii="Times New Roman" w:hAnsi="Times New Roman" w:eastAsia="仿宋_GB2312" w:cs="Times New Roman"/>
          <w:color w:val="000000" w:themeColor="text1"/>
          <w:kern w:val="2"/>
          <w:sz w:val="28"/>
          <w:szCs w:val="28"/>
          <w14:textFill>
            <w14:solidFill>
              <w14:schemeClr w14:val="tx1"/>
            </w14:solidFill>
          </w14:textFill>
        </w:rPr>
        <w:t>）</w:t>
      </w:r>
      <w:r>
        <w:rPr>
          <w:rFonts w:ascii="Times New Roman" w:hAnsi="Times New Roman" w:eastAsia="仿宋_GB2312" w:cs="Times New Roman"/>
          <w:color w:val="000000" w:themeColor="text1"/>
          <w:kern w:val="2"/>
          <w:sz w:val="28"/>
          <w:szCs w:val="28"/>
          <w14:textFill>
            <w14:solidFill>
              <w14:schemeClr w14:val="tx1"/>
            </w14:solidFill>
          </w14:textFill>
        </w:rPr>
        <w:t>和政府会议年度重点事项，主要负责同志为第一责任人，班子其他成员按照分工抓好主要指标以及重大工程、重大项目、重大政策的落实工作。</w:t>
      </w:r>
    </w:p>
    <w:p w14:paraId="14202261">
      <w:pPr>
        <w:pStyle w:val="5"/>
        <w:keepNext w:val="0"/>
        <w:keepLines w:val="0"/>
        <w:pageBreakBefore w:val="0"/>
        <w:widowControl w:val="0"/>
        <w:kinsoku/>
        <w:wordWrap/>
        <w:overflowPunct/>
        <w:topLinePunct w:val="0"/>
        <w:autoSpaceDE/>
        <w:autoSpaceDN/>
        <w:bidi w:val="0"/>
        <w:spacing w:before="0" w:after="0" w:line="540" w:lineRule="exact"/>
        <w:ind w:firstLine="560" w:firstLineChars="200"/>
        <w:textAlignment w:val="auto"/>
        <w:rPr>
          <w:rFonts w:ascii="黑体" w:hAnsi="黑体" w:eastAsia="黑体"/>
          <w:b w:val="0"/>
          <w:bCs w:val="0"/>
          <w:color w:val="000000" w:themeColor="text1"/>
          <w:sz w:val="28"/>
          <w:szCs w:val="28"/>
          <w14:textFill>
            <w14:solidFill>
              <w14:schemeClr w14:val="tx1"/>
            </w14:solidFill>
          </w14:textFill>
        </w:rPr>
      </w:pPr>
      <w:bookmarkStart w:id="274" w:name="_Toc5582"/>
      <w:bookmarkStart w:id="275" w:name="_Toc21994"/>
      <w:bookmarkStart w:id="276" w:name="_Toc30083"/>
      <w:bookmarkStart w:id="277" w:name="_Toc1726"/>
      <w:bookmarkStart w:id="278" w:name="_Toc14611"/>
      <w:r>
        <w:rPr>
          <w:rFonts w:hint="eastAsia" w:ascii="黑体" w:hAnsi="黑体" w:eastAsia="黑体"/>
          <w:b w:val="0"/>
          <w:bCs w:val="0"/>
          <w:color w:val="000000" w:themeColor="text1"/>
          <w:sz w:val="28"/>
          <w:szCs w:val="28"/>
          <w14:textFill>
            <w14:solidFill>
              <w14:schemeClr w14:val="tx1"/>
            </w14:solidFill>
          </w14:textFill>
        </w:rPr>
        <w:t>二、健全相互衔接的规划体系</w:t>
      </w:r>
      <w:bookmarkEnd w:id="274"/>
      <w:bookmarkEnd w:id="275"/>
      <w:bookmarkEnd w:id="276"/>
      <w:bookmarkEnd w:id="277"/>
      <w:bookmarkEnd w:id="278"/>
    </w:p>
    <w:p w14:paraId="0D41D9E0">
      <w:pPr>
        <w:pStyle w:val="6"/>
        <w:keepNext w:val="0"/>
        <w:keepLines w:val="0"/>
        <w:pageBreakBefore w:val="0"/>
        <w:widowControl w:val="0"/>
        <w:kinsoku/>
        <w:wordWrap/>
        <w:overflowPunct/>
        <w:topLinePunct w:val="0"/>
        <w:autoSpaceDE/>
        <w:autoSpaceDN/>
        <w:bidi w:val="0"/>
        <w:spacing w:before="0" w:after="0" w:line="540" w:lineRule="exact"/>
        <w:ind w:firstLine="560" w:firstLineChars="200"/>
        <w:textAlignment w:val="auto"/>
        <w:rPr>
          <w:rFonts w:ascii="楷体_GB2312" w:hAnsi="楷体_GB2312" w:eastAsia="楷体_GB2312" w:cs="楷体_GB2312"/>
          <w:b w:val="0"/>
          <w:bCs w:val="0"/>
          <w:color w:val="000000" w:themeColor="text1"/>
          <w:sz w:val="28"/>
          <w:szCs w:val="28"/>
          <w14:textFill>
            <w14:solidFill>
              <w14:schemeClr w14:val="tx1"/>
            </w14:solidFill>
          </w14:textFill>
        </w:rPr>
      </w:pPr>
      <w:bookmarkStart w:id="279" w:name="_Toc22830"/>
      <w:bookmarkStart w:id="280" w:name="_Toc5254"/>
      <w:bookmarkStart w:id="281" w:name="_Toc31969"/>
      <w:bookmarkStart w:id="282" w:name="_Toc17412"/>
      <w:r>
        <w:rPr>
          <w:rFonts w:hint="eastAsia" w:ascii="楷体_GB2312" w:hAnsi="楷体_GB2312" w:eastAsia="楷体_GB2312" w:cs="楷体_GB2312"/>
          <w:b w:val="0"/>
          <w:bCs w:val="0"/>
          <w:color w:val="000000" w:themeColor="text1"/>
          <w:sz w:val="28"/>
          <w:szCs w:val="28"/>
          <w14:textFill>
            <w14:solidFill>
              <w14:schemeClr w14:val="tx1"/>
            </w14:solidFill>
          </w14:textFill>
        </w:rPr>
        <w:t>（一）健全规划体系</w:t>
      </w:r>
      <w:bookmarkEnd w:id="279"/>
      <w:bookmarkEnd w:id="280"/>
      <w:bookmarkEnd w:id="281"/>
      <w:bookmarkEnd w:id="282"/>
    </w:p>
    <w:p w14:paraId="3B31CA7C">
      <w:pPr>
        <w:keepNext w:val="0"/>
        <w:keepLines w:val="0"/>
        <w:pageBreakBefore w:val="0"/>
        <w:widowControl w:val="0"/>
        <w:kinsoku/>
        <w:wordWrap/>
        <w:overflowPunct/>
        <w:topLinePunct w:val="0"/>
        <w:autoSpaceDE/>
        <w:autoSpaceDN/>
        <w:bidi w:val="0"/>
        <w:spacing w:line="540" w:lineRule="exact"/>
        <w:ind w:firstLine="560" w:firstLineChars="200"/>
        <w:textAlignment w:val="auto"/>
        <w:rPr>
          <w:rFonts w:ascii="Times New Roman" w:hAnsi="Times New Roman" w:eastAsia="仿宋_GB2312" w:cs="Times New Roman"/>
          <w:bCs/>
          <w:color w:val="000000" w:themeColor="text1"/>
          <w:kern w:val="0"/>
          <w:sz w:val="28"/>
          <w:szCs w:val="28"/>
          <w14:textFill>
            <w14:solidFill>
              <w14:schemeClr w14:val="tx1"/>
            </w14:solidFill>
          </w14:textFill>
        </w:rPr>
      </w:pPr>
      <w:r>
        <w:rPr>
          <w:rFonts w:ascii="Times New Roman" w:hAnsi="Times New Roman" w:eastAsia="仿宋_GB2312" w:cs="Times New Roman"/>
          <w:bCs/>
          <w:color w:val="000000" w:themeColor="text1"/>
          <w:kern w:val="0"/>
          <w:sz w:val="28"/>
          <w:szCs w:val="28"/>
          <w14:textFill>
            <w14:solidFill>
              <w14:schemeClr w14:val="tx1"/>
            </w14:solidFill>
          </w14:textFill>
        </w:rPr>
        <w:t>强化</w:t>
      </w:r>
      <w:r>
        <w:rPr>
          <w:rFonts w:ascii="Times New Roman" w:hAnsi="Times New Roman" w:eastAsia="仿宋_GB2312" w:cs="Times New Roman"/>
          <w:color w:val="000000" w:themeColor="text1"/>
          <w:sz w:val="28"/>
          <w:szCs w:val="28"/>
          <w14:textFill>
            <w14:solidFill>
              <w14:schemeClr w14:val="tx1"/>
            </w14:solidFill>
          </w14:textFill>
        </w:rPr>
        <w:t>《</w:t>
      </w:r>
      <w:r>
        <w:rPr>
          <w:rFonts w:hint="eastAsia" w:ascii="Times New Roman" w:hAnsi="Times New Roman" w:eastAsia="仿宋_GB2312" w:cs="Times New Roman"/>
          <w:color w:val="000000" w:themeColor="text1"/>
          <w:sz w:val="28"/>
          <w:szCs w:val="28"/>
          <w14:textFill>
            <w14:solidFill>
              <w14:schemeClr w14:val="tx1"/>
            </w14:solidFill>
          </w14:textFill>
        </w:rPr>
        <w:t>规划纲要</w:t>
      </w:r>
      <w:r>
        <w:rPr>
          <w:rFonts w:ascii="Times New Roman" w:hAnsi="Times New Roman" w:eastAsia="仿宋_GB2312" w:cs="Times New Roman"/>
          <w:color w:val="000000" w:themeColor="text1"/>
          <w:sz w:val="28"/>
          <w:szCs w:val="28"/>
          <w14:textFill>
            <w14:solidFill>
              <w14:schemeClr w14:val="tx1"/>
            </w14:solidFill>
          </w14:textFill>
        </w:rPr>
        <w:t>》</w:t>
      </w:r>
      <w:r>
        <w:rPr>
          <w:rFonts w:ascii="Times New Roman" w:hAnsi="Times New Roman" w:eastAsia="仿宋_GB2312" w:cs="Times New Roman"/>
          <w:bCs/>
          <w:color w:val="000000" w:themeColor="text1"/>
          <w:kern w:val="0"/>
          <w:sz w:val="28"/>
          <w:szCs w:val="28"/>
          <w14:textFill>
            <w14:solidFill>
              <w14:schemeClr w14:val="tx1"/>
            </w14:solidFill>
          </w14:textFill>
        </w:rPr>
        <w:t>的龙头地位，与相关空间规划、专项规划共同形成定位清晰、功能互补、统一衔接的规划体系。积极推进县规划改革创新，健全规划衔接协调机制，</w:t>
      </w:r>
      <w:r>
        <w:rPr>
          <w:rFonts w:hint="eastAsia" w:ascii="Times New Roman" w:hAnsi="Times New Roman" w:eastAsia="仿宋_GB2312" w:cs="Times New Roman"/>
          <w:bCs/>
          <w:color w:val="000000" w:themeColor="text1"/>
          <w:kern w:val="0"/>
          <w:sz w:val="28"/>
          <w:szCs w:val="28"/>
          <w14:textFill>
            <w14:solidFill>
              <w14:schemeClr w14:val="tx1"/>
            </w14:solidFill>
          </w14:textFill>
        </w:rPr>
        <w:t>精简</w:t>
      </w:r>
      <w:r>
        <w:rPr>
          <w:rFonts w:ascii="Times New Roman" w:hAnsi="Times New Roman" w:eastAsia="仿宋_GB2312" w:cs="Times New Roman"/>
          <w:bCs/>
          <w:color w:val="000000" w:themeColor="text1"/>
          <w:kern w:val="0"/>
          <w:sz w:val="28"/>
          <w:szCs w:val="28"/>
          <w14:textFill>
            <w14:solidFill>
              <w14:schemeClr w14:val="tx1"/>
            </w14:solidFill>
          </w14:textFill>
        </w:rPr>
        <w:t>专项规划数量，推动国民经济和社会发展规划、国土空间规划、生态环境保护规划以及各类专项产业规划“多规融合”和“多规合一”，为形成一本规划、一张蓝图奠定基础。</w:t>
      </w:r>
    </w:p>
    <w:p w14:paraId="5C58BCD9">
      <w:pPr>
        <w:pStyle w:val="6"/>
        <w:keepNext w:val="0"/>
        <w:keepLines w:val="0"/>
        <w:pageBreakBefore w:val="0"/>
        <w:widowControl w:val="0"/>
        <w:kinsoku/>
        <w:wordWrap/>
        <w:overflowPunct/>
        <w:topLinePunct w:val="0"/>
        <w:autoSpaceDE/>
        <w:autoSpaceDN/>
        <w:bidi w:val="0"/>
        <w:spacing w:before="0" w:after="0" w:line="540" w:lineRule="exact"/>
        <w:ind w:firstLine="560" w:firstLineChars="200"/>
        <w:textAlignment w:val="auto"/>
        <w:rPr>
          <w:rFonts w:ascii="楷体_GB2312" w:hAnsi="楷体_GB2312" w:eastAsia="楷体_GB2312" w:cs="楷体_GB2312"/>
          <w:b w:val="0"/>
          <w:bCs w:val="0"/>
          <w:color w:val="000000" w:themeColor="text1"/>
          <w:sz w:val="28"/>
          <w:szCs w:val="28"/>
          <w14:textFill>
            <w14:solidFill>
              <w14:schemeClr w14:val="tx1"/>
            </w14:solidFill>
          </w14:textFill>
        </w:rPr>
      </w:pPr>
      <w:bookmarkStart w:id="283" w:name="_Toc2682"/>
      <w:bookmarkStart w:id="284" w:name="_Toc8613"/>
      <w:bookmarkStart w:id="285" w:name="_Toc4628"/>
      <w:bookmarkStart w:id="286" w:name="_Toc32741"/>
      <w:r>
        <w:rPr>
          <w:rFonts w:hint="eastAsia" w:ascii="楷体_GB2312" w:hAnsi="楷体_GB2312" w:eastAsia="楷体_GB2312" w:cs="楷体_GB2312"/>
          <w:b w:val="0"/>
          <w:bCs w:val="0"/>
          <w:color w:val="000000" w:themeColor="text1"/>
          <w:sz w:val="28"/>
          <w:szCs w:val="28"/>
          <w14:textFill>
            <w14:solidFill>
              <w14:schemeClr w14:val="tx1"/>
            </w14:solidFill>
          </w14:textFill>
        </w:rPr>
        <w:t>（二）</w:t>
      </w:r>
      <w:bookmarkEnd w:id="283"/>
      <w:bookmarkEnd w:id="284"/>
      <w:bookmarkEnd w:id="285"/>
      <w:r>
        <w:rPr>
          <w:rFonts w:hint="eastAsia" w:ascii="楷体_GB2312" w:hAnsi="楷体_GB2312" w:eastAsia="楷体_GB2312" w:cs="楷体_GB2312"/>
          <w:b w:val="0"/>
          <w:bCs w:val="0"/>
          <w:color w:val="000000" w:themeColor="text1"/>
          <w:sz w:val="28"/>
          <w:szCs w:val="28"/>
          <w:lang w:eastAsia="zh-CN"/>
          <w14:textFill>
            <w14:solidFill>
              <w14:schemeClr w14:val="tx1"/>
            </w14:solidFill>
          </w14:textFill>
        </w:rPr>
        <w:t>编制</w:t>
      </w:r>
      <w:r>
        <w:rPr>
          <w:rFonts w:hint="eastAsia" w:ascii="楷体_GB2312" w:hAnsi="楷体_GB2312" w:eastAsia="楷体_GB2312" w:cs="楷体_GB2312"/>
          <w:b w:val="0"/>
          <w:bCs w:val="0"/>
          <w:color w:val="000000" w:themeColor="text1"/>
          <w:sz w:val="28"/>
          <w:szCs w:val="28"/>
          <w14:textFill>
            <w14:solidFill>
              <w14:schemeClr w14:val="tx1"/>
            </w14:solidFill>
          </w14:textFill>
        </w:rPr>
        <w:t>专项规划</w:t>
      </w:r>
      <w:bookmarkEnd w:id="286"/>
    </w:p>
    <w:p w14:paraId="773C760B">
      <w:pPr>
        <w:pStyle w:val="10"/>
        <w:keepNext w:val="0"/>
        <w:keepLines w:val="0"/>
        <w:pageBreakBefore w:val="0"/>
        <w:widowControl w:val="0"/>
        <w:kinsoku/>
        <w:wordWrap/>
        <w:overflowPunct/>
        <w:topLinePunct w:val="0"/>
        <w:autoSpaceDE/>
        <w:autoSpaceDN/>
        <w:bidi w:val="0"/>
        <w:spacing w:line="540" w:lineRule="exact"/>
        <w:ind w:firstLine="560" w:firstLineChars="200"/>
        <w:textAlignment w:val="auto"/>
        <w:rPr>
          <w:rFonts w:ascii="Times New Roman" w:hAnsi="Times New Roman" w:eastAsia="仿宋_GB2312" w:cs="Times New Roman"/>
          <w:bCs/>
          <w:color w:val="000000" w:themeColor="text1"/>
          <w:kern w:val="0"/>
          <w:sz w:val="28"/>
          <w:szCs w:val="28"/>
          <w14:textFill>
            <w14:solidFill>
              <w14:schemeClr w14:val="tx1"/>
            </w14:solidFill>
          </w14:textFill>
        </w:rPr>
      </w:pPr>
      <w:r>
        <w:rPr>
          <w:rFonts w:ascii="仿宋_GB2312" w:hAnsi="仿宋_GB2312" w:eastAsia="仿宋_GB2312" w:cs="仿宋_GB2312"/>
          <w:color w:val="000000" w:themeColor="text1"/>
          <w:kern w:val="2"/>
          <w:sz w:val="28"/>
          <w:szCs w:val="28"/>
          <w14:textFill>
            <w14:solidFill>
              <w14:schemeClr w14:val="tx1"/>
            </w14:solidFill>
          </w14:textFill>
        </w:rPr>
        <w:t>各</w:t>
      </w:r>
      <w:r>
        <w:rPr>
          <w:rFonts w:hint="eastAsia" w:ascii="仿宋_GB2312" w:hAnsi="仿宋_GB2312" w:eastAsia="仿宋_GB2312" w:cs="仿宋_GB2312"/>
          <w:color w:val="000000" w:themeColor="text1"/>
          <w:kern w:val="2"/>
          <w:sz w:val="28"/>
          <w:szCs w:val="28"/>
          <w:lang w:eastAsia="zh-CN"/>
          <w14:textFill>
            <w14:solidFill>
              <w14:schemeClr w14:val="tx1"/>
            </w14:solidFill>
          </w14:textFill>
        </w:rPr>
        <w:t>相关单位</w:t>
      </w:r>
      <w:r>
        <w:rPr>
          <w:rFonts w:ascii="Times New Roman" w:hAnsi="Times New Roman" w:eastAsia="仿宋_GB2312" w:cs="Times New Roman"/>
          <w:bCs/>
          <w:color w:val="000000" w:themeColor="text1"/>
          <w:kern w:val="0"/>
          <w:sz w:val="28"/>
          <w:szCs w:val="28"/>
          <w14:textFill>
            <w14:solidFill>
              <w14:schemeClr w14:val="tx1"/>
            </w14:solidFill>
          </w14:textFill>
        </w:rPr>
        <w:t>要根据</w:t>
      </w:r>
      <w:r>
        <w:rPr>
          <w:rFonts w:ascii="Times New Roman" w:hAnsi="Times New Roman" w:eastAsia="仿宋_GB2312" w:cs="Times New Roman"/>
          <w:color w:val="000000" w:themeColor="text1"/>
          <w:sz w:val="28"/>
          <w:szCs w:val="28"/>
          <w14:textFill>
            <w14:solidFill>
              <w14:schemeClr w14:val="tx1"/>
            </w14:solidFill>
          </w14:textFill>
        </w:rPr>
        <w:t>《</w:t>
      </w:r>
      <w:r>
        <w:rPr>
          <w:rFonts w:hint="eastAsia" w:ascii="Times New Roman" w:hAnsi="Times New Roman" w:eastAsia="仿宋_GB2312" w:cs="Times New Roman"/>
          <w:color w:val="000000" w:themeColor="text1"/>
          <w:sz w:val="28"/>
          <w:szCs w:val="28"/>
          <w14:textFill>
            <w14:solidFill>
              <w14:schemeClr w14:val="tx1"/>
            </w14:solidFill>
          </w14:textFill>
        </w:rPr>
        <w:t>规划纲要</w:t>
      </w:r>
      <w:r>
        <w:rPr>
          <w:rFonts w:ascii="Times New Roman" w:hAnsi="Times New Roman" w:eastAsia="仿宋_GB2312" w:cs="Times New Roman"/>
          <w:color w:val="000000" w:themeColor="text1"/>
          <w:sz w:val="28"/>
          <w:szCs w:val="28"/>
          <w14:textFill>
            <w14:solidFill>
              <w14:schemeClr w14:val="tx1"/>
            </w14:solidFill>
          </w14:textFill>
        </w:rPr>
        <w:t>》</w:t>
      </w:r>
      <w:r>
        <w:rPr>
          <w:rFonts w:ascii="Times New Roman" w:hAnsi="Times New Roman" w:eastAsia="仿宋_GB2312" w:cs="Times New Roman"/>
          <w:bCs/>
          <w:color w:val="000000" w:themeColor="text1"/>
          <w:kern w:val="0"/>
          <w:sz w:val="28"/>
          <w:szCs w:val="28"/>
          <w14:textFill>
            <w14:solidFill>
              <w14:schemeClr w14:val="tx1"/>
            </w14:solidFill>
          </w14:textFill>
        </w:rPr>
        <w:t>重点领域的发展任务和战略部署，做好专项规划编制实施工作。各专项规划要加强与</w:t>
      </w:r>
      <w:r>
        <w:rPr>
          <w:rFonts w:ascii="Times New Roman" w:hAnsi="Times New Roman" w:eastAsia="仿宋_GB2312" w:cs="Times New Roman"/>
          <w:color w:val="000000" w:themeColor="text1"/>
          <w:sz w:val="28"/>
          <w:szCs w:val="28"/>
          <w14:textFill>
            <w14:solidFill>
              <w14:schemeClr w14:val="tx1"/>
            </w14:solidFill>
          </w14:textFill>
        </w:rPr>
        <w:t>《</w:t>
      </w:r>
      <w:r>
        <w:rPr>
          <w:rFonts w:hint="eastAsia" w:ascii="Times New Roman" w:hAnsi="Times New Roman" w:eastAsia="仿宋_GB2312" w:cs="Times New Roman"/>
          <w:color w:val="000000" w:themeColor="text1"/>
          <w:sz w:val="28"/>
          <w:szCs w:val="28"/>
          <w14:textFill>
            <w14:solidFill>
              <w14:schemeClr w14:val="tx1"/>
            </w14:solidFill>
          </w14:textFill>
        </w:rPr>
        <w:t>规划纲要</w:t>
      </w:r>
      <w:r>
        <w:rPr>
          <w:rFonts w:ascii="Times New Roman" w:hAnsi="Times New Roman" w:eastAsia="仿宋_GB2312" w:cs="Times New Roman"/>
          <w:color w:val="000000" w:themeColor="text1"/>
          <w:sz w:val="28"/>
          <w:szCs w:val="28"/>
          <w14:textFill>
            <w14:solidFill>
              <w14:schemeClr w14:val="tx1"/>
            </w14:solidFill>
          </w14:textFill>
        </w:rPr>
        <w:t>》</w:t>
      </w:r>
      <w:r>
        <w:rPr>
          <w:rFonts w:ascii="Times New Roman" w:hAnsi="Times New Roman" w:eastAsia="仿宋_GB2312" w:cs="Times New Roman"/>
          <w:bCs/>
          <w:color w:val="000000" w:themeColor="text1"/>
          <w:kern w:val="0"/>
          <w:sz w:val="28"/>
          <w:szCs w:val="28"/>
          <w14:textFill>
            <w14:solidFill>
              <w14:schemeClr w14:val="tx1"/>
            </w14:solidFill>
          </w14:textFill>
        </w:rPr>
        <w:t>和重点专项规划的衔接</w:t>
      </w:r>
      <w:r>
        <w:rPr>
          <w:rFonts w:hint="eastAsia" w:ascii="Times New Roman" w:hAnsi="Times New Roman" w:eastAsia="仿宋_GB2312" w:cs="Times New Roman"/>
          <w:bCs/>
          <w:color w:val="000000" w:themeColor="text1"/>
          <w:kern w:val="0"/>
          <w:sz w:val="28"/>
          <w:szCs w:val="28"/>
          <w14:textFill>
            <w14:solidFill>
              <w14:schemeClr w14:val="tx1"/>
            </w14:solidFill>
          </w14:textFill>
        </w:rPr>
        <w:t>，尤其需要</w:t>
      </w:r>
      <w:r>
        <w:rPr>
          <w:rFonts w:ascii="Times New Roman" w:hAnsi="Times New Roman" w:eastAsia="仿宋_GB2312" w:cs="Times New Roman"/>
          <w:bCs/>
          <w:color w:val="000000" w:themeColor="text1"/>
          <w:kern w:val="0"/>
          <w:sz w:val="28"/>
          <w:szCs w:val="28"/>
          <w14:textFill>
            <w14:solidFill>
              <w14:schemeClr w14:val="tx1"/>
            </w14:solidFill>
          </w14:textFill>
        </w:rPr>
        <w:t>做好跨</w:t>
      </w:r>
      <w:r>
        <w:rPr>
          <w:rFonts w:hint="eastAsia" w:ascii="Times New Roman" w:hAnsi="Times New Roman" w:eastAsia="仿宋_GB2312" w:cs="Times New Roman"/>
          <w:bCs/>
          <w:color w:val="000000" w:themeColor="text1"/>
          <w:kern w:val="0"/>
          <w:sz w:val="28"/>
          <w:szCs w:val="28"/>
          <w14:textFill>
            <w14:solidFill>
              <w14:schemeClr w14:val="tx1"/>
            </w14:solidFill>
          </w14:textFill>
        </w:rPr>
        <w:t>“</w:t>
      </w:r>
      <w:r>
        <w:rPr>
          <w:rFonts w:ascii="Times New Roman" w:hAnsi="Times New Roman" w:eastAsia="仿宋_GB2312" w:cs="Times New Roman"/>
          <w:bCs/>
          <w:color w:val="000000" w:themeColor="text1"/>
          <w:kern w:val="0"/>
          <w:sz w:val="28"/>
          <w:szCs w:val="28"/>
          <w14:textFill>
            <w14:solidFill>
              <w14:schemeClr w14:val="tx1"/>
            </w14:solidFill>
          </w14:textFill>
        </w:rPr>
        <w:t>十</w:t>
      </w:r>
      <w:r>
        <w:rPr>
          <w:rFonts w:hint="eastAsia" w:ascii="Times New Roman" w:hAnsi="Times New Roman" w:eastAsia="仿宋_GB2312" w:cs="Times New Roman"/>
          <w:bCs/>
          <w:color w:val="000000" w:themeColor="text1"/>
          <w:kern w:val="0"/>
          <w:sz w:val="28"/>
          <w:szCs w:val="28"/>
          <w14:textFill>
            <w14:solidFill>
              <w14:schemeClr w14:val="tx1"/>
            </w14:solidFill>
          </w14:textFill>
        </w:rPr>
        <w:t>四</w:t>
      </w:r>
      <w:r>
        <w:rPr>
          <w:rFonts w:ascii="Times New Roman" w:hAnsi="Times New Roman" w:eastAsia="仿宋_GB2312" w:cs="Times New Roman"/>
          <w:bCs/>
          <w:color w:val="000000" w:themeColor="text1"/>
          <w:kern w:val="0"/>
          <w:sz w:val="28"/>
          <w:szCs w:val="28"/>
          <w14:textFill>
            <w14:solidFill>
              <w14:schemeClr w14:val="tx1"/>
            </w14:solidFill>
          </w14:textFill>
        </w:rPr>
        <w:t>五</w:t>
      </w:r>
      <w:r>
        <w:rPr>
          <w:rFonts w:hint="eastAsia" w:ascii="Times New Roman" w:hAnsi="Times New Roman" w:eastAsia="仿宋_GB2312" w:cs="Times New Roman"/>
          <w:bCs/>
          <w:color w:val="000000" w:themeColor="text1"/>
          <w:kern w:val="0"/>
          <w:sz w:val="28"/>
          <w:szCs w:val="28"/>
          <w14:textFill>
            <w14:solidFill>
              <w14:schemeClr w14:val="tx1"/>
            </w14:solidFill>
          </w14:textFill>
        </w:rPr>
        <w:t>”</w:t>
      </w:r>
      <w:r>
        <w:rPr>
          <w:rFonts w:ascii="Times New Roman" w:hAnsi="Times New Roman" w:eastAsia="仿宋_GB2312" w:cs="Times New Roman"/>
          <w:bCs/>
          <w:color w:val="000000" w:themeColor="text1"/>
          <w:kern w:val="0"/>
          <w:sz w:val="28"/>
          <w:szCs w:val="28"/>
          <w14:textFill>
            <w14:solidFill>
              <w14:schemeClr w14:val="tx1"/>
            </w14:solidFill>
          </w14:textFill>
        </w:rPr>
        <w:t>时期专项规划与</w:t>
      </w:r>
      <w:r>
        <w:rPr>
          <w:rFonts w:ascii="Times New Roman" w:hAnsi="Times New Roman" w:eastAsia="仿宋_GB2312" w:cs="Times New Roman"/>
          <w:color w:val="000000" w:themeColor="text1"/>
          <w:sz w:val="28"/>
          <w:szCs w:val="28"/>
          <w14:textFill>
            <w14:solidFill>
              <w14:schemeClr w14:val="tx1"/>
            </w14:solidFill>
          </w14:textFill>
        </w:rPr>
        <w:t>《</w:t>
      </w:r>
      <w:r>
        <w:rPr>
          <w:rFonts w:hint="eastAsia" w:ascii="Times New Roman" w:hAnsi="Times New Roman" w:eastAsia="仿宋_GB2312" w:cs="Times New Roman"/>
          <w:color w:val="000000" w:themeColor="text1"/>
          <w:sz w:val="28"/>
          <w:szCs w:val="28"/>
          <w14:textFill>
            <w14:solidFill>
              <w14:schemeClr w14:val="tx1"/>
            </w14:solidFill>
          </w14:textFill>
        </w:rPr>
        <w:t>规划纲要</w:t>
      </w:r>
      <w:r>
        <w:rPr>
          <w:rFonts w:ascii="Times New Roman" w:hAnsi="Times New Roman" w:eastAsia="仿宋_GB2312" w:cs="Times New Roman"/>
          <w:color w:val="000000" w:themeColor="text1"/>
          <w:sz w:val="28"/>
          <w:szCs w:val="28"/>
          <w14:textFill>
            <w14:solidFill>
              <w14:schemeClr w14:val="tx1"/>
            </w14:solidFill>
          </w14:textFill>
        </w:rPr>
        <w:t>》</w:t>
      </w:r>
      <w:r>
        <w:rPr>
          <w:rFonts w:ascii="Times New Roman" w:hAnsi="Times New Roman" w:eastAsia="仿宋_GB2312" w:cs="Times New Roman"/>
          <w:bCs/>
          <w:color w:val="000000" w:themeColor="text1"/>
          <w:kern w:val="0"/>
          <w:sz w:val="28"/>
          <w:szCs w:val="28"/>
          <w14:textFill>
            <w14:solidFill>
              <w14:schemeClr w14:val="tx1"/>
            </w14:solidFill>
          </w14:textFill>
        </w:rPr>
        <w:t>的衔接工作。</w:t>
      </w:r>
    </w:p>
    <w:p w14:paraId="3F065F7E">
      <w:pPr>
        <w:pStyle w:val="6"/>
        <w:keepNext w:val="0"/>
        <w:keepLines w:val="0"/>
        <w:pageBreakBefore w:val="0"/>
        <w:widowControl w:val="0"/>
        <w:kinsoku/>
        <w:wordWrap/>
        <w:overflowPunct/>
        <w:topLinePunct w:val="0"/>
        <w:autoSpaceDE/>
        <w:autoSpaceDN/>
        <w:bidi w:val="0"/>
        <w:spacing w:before="0" w:after="0" w:line="540" w:lineRule="exact"/>
        <w:ind w:firstLine="560" w:firstLineChars="200"/>
        <w:textAlignment w:val="auto"/>
        <w:rPr>
          <w:rFonts w:ascii="楷体_GB2312" w:hAnsi="楷体_GB2312" w:eastAsia="楷体_GB2312" w:cs="楷体_GB2312"/>
          <w:b w:val="0"/>
          <w:bCs w:val="0"/>
          <w:color w:val="000000" w:themeColor="text1"/>
          <w:sz w:val="28"/>
          <w:szCs w:val="28"/>
          <w14:textFill>
            <w14:solidFill>
              <w14:schemeClr w14:val="tx1"/>
            </w14:solidFill>
          </w14:textFill>
        </w:rPr>
      </w:pPr>
      <w:bookmarkStart w:id="287" w:name="_Toc30742"/>
      <w:bookmarkStart w:id="288" w:name="_Toc30425"/>
      <w:bookmarkStart w:id="289" w:name="_Toc26029"/>
      <w:bookmarkStart w:id="290" w:name="_Toc31756"/>
      <w:r>
        <w:rPr>
          <w:rFonts w:hint="eastAsia" w:ascii="楷体_GB2312" w:hAnsi="楷体_GB2312" w:eastAsia="楷体_GB2312" w:cs="楷体_GB2312"/>
          <w:b w:val="0"/>
          <w:bCs w:val="0"/>
          <w:color w:val="000000" w:themeColor="text1"/>
          <w:sz w:val="28"/>
          <w:szCs w:val="28"/>
          <w14:textFill>
            <w14:solidFill>
              <w14:schemeClr w14:val="tx1"/>
            </w14:solidFill>
          </w14:textFill>
        </w:rPr>
        <w:t>（三）纳入年度计划</w:t>
      </w:r>
      <w:bookmarkEnd w:id="287"/>
      <w:bookmarkEnd w:id="288"/>
      <w:bookmarkEnd w:id="289"/>
      <w:bookmarkEnd w:id="290"/>
    </w:p>
    <w:p w14:paraId="7853586A">
      <w:pPr>
        <w:pStyle w:val="10"/>
        <w:keepNext w:val="0"/>
        <w:keepLines w:val="0"/>
        <w:pageBreakBefore w:val="0"/>
        <w:widowControl w:val="0"/>
        <w:kinsoku/>
        <w:wordWrap/>
        <w:overflowPunct/>
        <w:topLinePunct w:val="0"/>
        <w:autoSpaceDE/>
        <w:autoSpaceDN/>
        <w:bidi w:val="0"/>
        <w:spacing w:line="540" w:lineRule="exact"/>
        <w:ind w:firstLine="560" w:firstLineChars="200"/>
        <w:textAlignment w:val="auto"/>
        <w:rPr>
          <w:rFonts w:ascii="Arial" w:hAnsi="Arial" w:cs="Arial"/>
          <w:color w:val="000000" w:themeColor="text1"/>
          <w:sz w:val="28"/>
          <w:szCs w:val="28"/>
          <w14:textFill>
            <w14:solidFill>
              <w14:schemeClr w14:val="tx1"/>
            </w14:solidFill>
          </w14:textFill>
        </w:rPr>
      </w:pPr>
      <w:r>
        <w:rPr>
          <w:rFonts w:ascii="仿宋_GB2312" w:hAnsi="仿宋_GB2312" w:eastAsia="仿宋_GB2312" w:cs="仿宋_GB2312"/>
          <w:color w:val="000000" w:themeColor="text1"/>
          <w:kern w:val="2"/>
          <w:sz w:val="28"/>
          <w:szCs w:val="28"/>
          <w14:textFill>
            <w14:solidFill>
              <w14:schemeClr w14:val="tx1"/>
            </w14:solidFill>
          </w14:textFill>
        </w:rPr>
        <w:t>各</w:t>
      </w:r>
      <w:r>
        <w:rPr>
          <w:rFonts w:hint="eastAsia" w:ascii="仿宋_GB2312" w:hAnsi="仿宋_GB2312" w:eastAsia="仿宋_GB2312" w:cs="仿宋_GB2312"/>
          <w:color w:val="000000" w:themeColor="text1"/>
          <w:kern w:val="2"/>
          <w:sz w:val="28"/>
          <w:szCs w:val="28"/>
          <w:lang w:eastAsia="zh-CN"/>
          <w14:textFill>
            <w14:solidFill>
              <w14:schemeClr w14:val="tx1"/>
            </w14:solidFill>
          </w14:textFill>
        </w:rPr>
        <w:t>相关单位</w:t>
      </w:r>
      <w:r>
        <w:rPr>
          <w:rFonts w:ascii="Times New Roman" w:hAnsi="Times New Roman" w:eastAsia="仿宋_GB2312" w:cs="Times New Roman"/>
          <w:bCs/>
          <w:color w:val="000000" w:themeColor="text1"/>
          <w:kern w:val="0"/>
          <w:sz w:val="28"/>
          <w:szCs w:val="28"/>
          <w14:textFill>
            <w14:solidFill>
              <w14:schemeClr w14:val="tx1"/>
            </w14:solidFill>
          </w14:textFill>
        </w:rPr>
        <w:t>要将《</w:t>
      </w:r>
      <w:r>
        <w:rPr>
          <w:rFonts w:hint="eastAsia" w:ascii="Times New Roman" w:hAnsi="Times New Roman" w:eastAsia="仿宋_GB2312" w:cs="Times New Roman"/>
          <w:bCs/>
          <w:color w:val="000000" w:themeColor="text1"/>
          <w:kern w:val="0"/>
          <w:sz w:val="28"/>
          <w:szCs w:val="28"/>
          <w14:textFill>
            <w14:solidFill>
              <w14:schemeClr w14:val="tx1"/>
            </w14:solidFill>
          </w14:textFill>
        </w:rPr>
        <w:t>规划</w:t>
      </w:r>
      <w:r>
        <w:rPr>
          <w:rFonts w:ascii="Times New Roman" w:hAnsi="Times New Roman" w:eastAsia="仿宋_GB2312" w:cs="Times New Roman"/>
          <w:bCs/>
          <w:color w:val="000000" w:themeColor="text1"/>
          <w:kern w:val="0"/>
          <w:sz w:val="28"/>
          <w:szCs w:val="28"/>
          <w14:textFill>
            <w14:solidFill>
              <w14:schemeClr w14:val="tx1"/>
            </w14:solidFill>
          </w14:textFill>
        </w:rPr>
        <w:t>纲要》提出的主要指标纳入年度计划指标体系，并</w:t>
      </w:r>
      <w:r>
        <w:rPr>
          <w:rFonts w:ascii="Times New Roman" w:hAnsi="Times New Roman" w:eastAsia="仿宋_GB2312" w:cs="Times New Roman"/>
          <w:bCs/>
          <w:color w:val="000000" w:themeColor="text1"/>
          <w:spacing w:val="-6"/>
          <w:kern w:val="0"/>
          <w:sz w:val="28"/>
          <w:szCs w:val="28"/>
          <w14:textFill>
            <w14:solidFill>
              <w14:schemeClr w14:val="tx1"/>
            </w14:solidFill>
          </w14:textFill>
        </w:rPr>
        <w:t>做好年度间综合平衡。《</w:t>
      </w:r>
      <w:r>
        <w:rPr>
          <w:rFonts w:hint="eastAsia" w:ascii="Times New Roman" w:hAnsi="Times New Roman" w:eastAsia="仿宋_GB2312" w:cs="Times New Roman"/>
          <w:bCs/>
          <w:color w:val="000000" w:themeColor="text1"/>
          <w:spacing w:val="-6"/>
          <w:kern w:val="0"/>
          <w:sz w:val="28"/>
          <w:szCs w:val="28"/>
          <w14:textFill>
            <w14:solidFill>
              <w14:schemeClr w14:val="tx1"/>
            </w14:solidFill>
          </w14:textFill>
        </w:rPr>
        <w:t>规划</w:t>
      </w:r>
      <w:r>
        <w:rPr>
          <w:rFonts w:ascii="Times New Roman" w:hAnsi="Times New Roman" w:eastAsia="仿宋_GB2312" w:cs="Times New Roman"/>
          <w:bCs/>
          <w:color w:val="000000" w:themeColor="text1"/>
          <w:spacing w:val="-6"/>
          <w:kern w:val="0"/>
          <w:sz w:val="28"/>
          <w:szCs w:val="28"/>
          <w14:textFill>
            <w14:solidFill>
              <w14:schemeClr w14:val="tx1"/>
            </w14:solidFill>
          </w14:textFill>
        </w:rPr>
        <w:t>纲要》主要指标的年度实现情况以及上一年度《</w:t>
      </w:r>
      <w:r>
        <w:rPr>
          <w:rFonts w:hint="eastAsia" w:ascii="Times New Roman" w:hAnsi="Times New Roman" w:eastAsia="仿宋_GB2312" w:cs="Times New Roman"/>
          <w:bCs/>
          <w:color w:val="000000" w:themeColor="text1"/>
          <w:spacing w:val="-6"/>
          <w:kern w:val="0"/>
          <w:sz w:val="28"/>
          <w:szCs w:val="28"/>
          <w14:textFill>
            <w14:solidFill>
              <w14:schemeClr w14:val="tx1"/>
            </w14:solidFill>
          </w14:textFill>
        </w:rPr>
        <w:t>规划纲要</w:t>
      </w:r>
      <w:r>
        <w:rPr>
          <w:rFonts w:ascii="Times New Roman" w:hAnsi="Times New Roman" w:eastAsia="仿宋_GB2312" w:cs="Times New Roman"/>
          <w:bCs/>
          <w:color w:val="000000" w:themeColor="text1"/>
          <w:spacing w:val="-6"/>
          <w:kern w:val="0"/>
          <w:sz w:val="28"/>
          <w:szCs w:val="28"/>
          <w14:textFill>
            <w14:solidFill>
              <w14:schemeClr w14:val="tx1"/>
            </w14:solidFill>
          </w14:textFill>
        </w:rPr>
        <w:t>》总体执行情况和下一年度实施重点，都要纳入年度计划报告。</w:t>
      </w:r>
    </w:p>
    <w:p w14:paraId="4B2031BA">
      <w:pPr>
        <w:pStyle w:val="5"/>
        <w:keepNext w:val="0"/>
        <w:keepLines w:val="0"/>
        <w:pageBreakBefore w:val="0"/>
        <w:widowControl w:val="0"/>
        <w:kinsoku/>
        <w:wordWrap/>
        <w:overflowPunct/>
        <w:topLinePunct w:val="0"/>
        <w:autoSpaceDE/>
        <w:autoSpaceDN/>
        <w:bidi w:val="0"/>
        <w:spacing w:before="0" w:after="0" w:line="540" w:lineRule="exact"/>
        <w:ind w:firstLine="560" w:firstLineChars="200"/>
        <w:textAlignment w:val="auto"/>
        <w:rPr>
          <w:rFonts w:ascii="黑体" w:hAnsi="黑体" w:eastAsia="黑体"/>
          <w:b w:val="0"/>
          <w:bCs w:val="0"/>
          <w:color w:val="000000" w:themeColor="text1"/>
          <w:sz w:val="28"/>
          <w:szCs w:val="28"/>
          <w14:textFill>
            <w14:solidFill>
              <w14:schemeClr w14:val="tx1"/>
            </w14:solidFill>
          </w14:textFill>
        </w:rPr>
      </w:pPr>
      <w:bookmarkStart w:id="291" w:name="_Toc1960"/>
      <w:bookmarkStart w:id="292" w:name="_Toc4528"/>
      <w:bookmarkStart w:id="293" w:name="_Toc1610"/>
      <w:bookmarkStart w:id="294" w:name="_Toc818"/>
      <w:bookmarkStart w:id="295" w:name="_Toc12644"/>
      <w:r>
        <w:rPr>
          <w:rFonts w:hint="eastAsia" w:ascii="黑体" w:hAnsi="黑体" w:eastAsia="黑体"/>
          <w:b w:val="0"/>
          <w:bCs w:val="0"/>
          <w:color w:val="000000" w:themeColor="text1"/>
          <w:sz w:val="28"/>
          <w:szCs w:val="28"/>
          <w14:textFill>
            <w14:solidFill>
              <w14:schemeClr w14:val="tx1"/>
            </w14:solidFill>
          </w14:textFill>
        </w:rPr>
        <w:t>三、强化实施监测评估</w:t>
      </w:r>
      <w:bookmarkEnd w:id="291"/>
      <w:bookmarkEnd w:id="292"/>
      <w:bookmarkEnd w:id="293"/>
      <w:bookmarkEnd w:id="294"/>
      <w:bookmarkEnd w:id="295"/>
    </w:p>
    <w:p w14:paraId="07964C67">
      <w:pPr>
        <w:pStyle w:val="6"/>
        <w:keepNext w:val="0"/>
        <w:keepLines w:val="0"/>
        <w:pageBreakBefore w:val="0"/>
        <w:widowControl w:val="0"/>
        <w:kinsoku/>
        <w:wordWrap/>
        <w:overflowPunct/>
        <w:topLinePunct w:val="0"/>
        <w:autoSpaceDE/>
        <w:autoSpaceDN/>
        <w:bidi w:val="0"/>
        <w:spacing w:before="0" w:after="0" w:line="540" w:lineRule="exact"/>
        <w:ind w:firstLine="560" w:firstLineChars="200"/>
        <w:textAlignment w:val="auto"/>
        <w:rPr>
          <w:rFonts w:ascii="楷体_GB2312" w:hAnsi="楷体_GB2312" w:eastAsia="楷体_GB2312" w:cs="楷体_GB2312"/>
          <w:b w:val="0"/>
          <w:bCs w:val="0"/>
          <w:color w:val="000000" w:themeColor="text1"/>
          <w:sz w:val="28"/>
          <w:szCs w:val="28"/>
          <w14:textFill>
            <w14:solidFill>
              <w14:schemeClr w14:val="tx1"/>
            </w14:solidFill>
          </w14:textFill>
        </w:rPr>
      </w:pPr>
      <w:bookmarkStart w:id="296" w:name="_Toc9582"/>
      <w:bookmarkStart w:id="297" w:name="_Toc17991"/>
      <w:bookmarkStart w:id="298" w:name="_Toc1535"/>
      <w:bookmarkStart w:id="299" w:name="_Toc26663"/>
      <w:r>
        <w:rPr>
          <w:rFonts w:hint="eastAsia" w:ascii="楷体_GB2312" w:hAnsi="楷体_GB2312" w:eastAsia="楷体_GB2312" w:cs="楷体_GB2312"/>
          <w:b w:val="0"/>
          <w:bCs w:val="0"/>
          <w:color w:val="000000" w:themeColor="text1"/>
          <w:sz w:val="28"/>
          <w:szCs w:val="28"/>
          <w14:textFill>
            <w14:solidFill>
              <w14:schemeClr w14:val="tx1"/>
            </w14:solidFill>
          </w14:textFill>
        </w:rPr>
        <w:t>（一）加强动态监测分析</w:t>
      </w:r>
      <w:bookmarkEnd w:id="296"/>
      <w:bookmarkEnd w:id="297"/>
      <w:bookmarkEnd w:id="298"/>
      <w:bookmarkEnd w:id="299"/>
    </w:p>
    <w:p w14:paraId="5ADFC716">
      <w:pPr>
        <w:pStyle w:val="10"/>
        <w:keepNext w:val="0"/>
        <w:keepLines w:val="0"/>
        <w:pageBreakBefore w:val="0"/>
        <w:widowControl w:val="0"/>
        <w:kinsoku/>
        <w:wordWrap/>
        <w:overflowPunct/>
        <w:topLinePunct w:val="0"/>
        <w:autoSpaceDE/>
        <w:autoSpaceDN/>
        <w:bidi w:val="0"/>
        <w:spacing w:line="540" w:lineRule="exact"/>
        <w:ind w:firstLine="560" w:firstLineChars="200"/>
        <w:textAlignment w:val="auto"/>
        <w:rPr>
          <w:rFonts w:ascii="Times New Roman" w:hAnsi="Times New Roman" w:eastAsia="仿宋_GB2312" w:cs="Times New Roman"/>
          <w:bCs/>
          <w:color w:val="000000" w:themeColor="text1"/>
          <w:kern w:val="0"/>
          <w:sz w:val="28"/>
          <w:szCs w:val="28"/>
          <w14:textFill>
            <w14:solidFill>
              <w14:schemeClr w14:val="tx1"/>
            </w14:solidFill>
          </w14:textFill>
        </w:rPr>
      </w:pPr>
      <w:r>
        <w:rPr>
          <w:rFonts w:ascii="Times New Roman" w:hAnsi="Times New Roman" w:eastAsia="仿宋_GB2312" w:cs="Times New Roman"/>
          <w:bCs/>
          <w:color w:val="000000" w:themeColor="text1"/>
          <w:kern w:val="0"/>
          <w:sz w:val="28"/>
          <w:szCs w:val="28"/>
          <w14:textFill>
            <w14:solidFill>
              <w14:schemeClr w14:val="tx1"/>
            </w14:solidFill>
          </w14:textFill>
        </w:rPr>
        <w:t>密切跟踪国内外形势变化，根据需要适时调整《</w:t>
      </w:r>
      <w:r>
        <w:rPr>
          <w:rFonts w:hint="eastAsia" w:ascii="Times New Roman" w:hAnsi="Times New Roman" w:eastAsia="仿宋_GB2312" w:cs="Times New Roman"/>
          <w:bCs/>
          <w:color w:val="000000" w:themeColor="text1"/>
          <w:kern w:val="0"/>
          <w:sz w:val="28"/>
          <w:szCs w:val="28"/>
          <w14:textFill>
            <w14:solidFill>
              <w14:schemeClr w14:val="tx1"/>
            </w14:solidFill>
          </w14:textFill>
        </w:rPr>
        <w:t>规划</w:t>
      </w:r>
      <w:r>
        <w:rPr>
          <w:rFonts w:ascii="Times New Roman" w:hAnsi="Times New Roman" w:eastAsia="仿宋_GB2312" w:cs="Times New Roman"/>
          <w:bCs/>
          <w:color w:val="000000" w:themeColor="text1"/>
          <w:kern w:val="0"/>
          <w:sz w:val="28"/>
          <w:szCs w:val="28"/>
          <w14:textFill>
            <w14:solidFill>
              <w14:schemeClr w14:val="tx1"/>
            </w14:solidFill>
          </w14:textFill>
        </w:rPr>
        <w:t>纲要》实施重点、政策举措及保障机制。加大对困难</w:t>
      </w:r>
      <w:r>
        <w:rPr>
          <w:rFonts w:hint="eastAsia" w:ascii="Times New Roman" w:hAnsi="Times New Roman" w:eastAsia="仿宋_GB2312" w:cs="Times New Roman"/>
          <w:bCs/>
          <w:color w:val="000000" w:themeColor="text1"/>
          <w:kern w:val="0"/>
          <w:sz w:val="28"/>
          <w:szCs w:val="28"/>
          <w:lang w:eastAsia="zh-CN"/>
          <w14:textFill>
            <w14:solidFill>
              <w14:schemeClr w14:val="tx1"/>
            </w14:solidFill>
          </w14:textFill>
        </w:rPr>
        <w:t>镇</w:t>
      </w:r>
      <w:r>
        <w:rPr>
          <w:rFonts w:ascii="Times New Roman" w:hAnsi="Times New Roman" w:eastAsia="仿宋_GB2312" w:cs="Times New Roman"/>
          <w:bCs/>
          <w:color w:val="000000" w:themeColor="text1"/>
          <w:kern w:val="0"/>
          <w:sz w:val="28"/>
          <w:szCs w:val="28"/>
          <w14:textFill>
            <w14:solidFill>
              <w14:schemeClr w14:val="tx1"/>
            </w14:solidFill>
          </w14:textFill>
        </w:rPr>
        <w:t>、薄弱环节的支持力度。针对可能存在风险的地区和重点领域，制定工作预案，防范系统性风险滋生蔓延。</w:t>
      </w:r>
    </w:p>
    <w:p w14:paraId="3566E546">
      <w:pPr>
        <w:pStyle w:val="6"/>
        <w:keepNext w:val="0"/>
        <w:keepLines w:val="0"/>
        <w:pageBreakBefore w:val="0"/>
        <w:widowControl w:val="0"/>
        <w:kinsoku/>
        <w:wordWrap/>
        <w:overflowPunct/>
        <w:topLinePunct w:val="0"/>
        <w:autoSpaceDE/>
        <w:autoSpaceDN/>
        <w:bidi w:val="0"/>
        <w:spacing w:before="0" w:after="0" w:line="540" w:lineRule="exact"/>
        <w:ind w:firstLine="560" w:firstLineChars="200"/>
        <w:textAlignment w:val="auto"/>
        <w:rPr>
          <w:rFonts w:ascii="楷体_GB2312" w:hAnsi="楷体_GB2312" w:eastAsia="楷体_GB2312" w:cs="楷体_GB2312"/>
          <w:b w:val="0"/>
          <w:bCs w:val="0"/>
          <w:color w:val="000000" w:themeColor="text1"/>
          <w:sz w:val="28"/>
          <w:szCs w:val="28"/>
          <w14:textFill>
            <w14:solidFill>
              <w14:schemeClr w14:val="tx1"/>
            </w14:solidFill>
          </w14:textFill>
        </w:rPr>
      </w:pPr>
      <w:bookmarkStart w:id="300" w:name="_Toc12782"/>
      <w:bookmarkStart w:id="301" w:name="_Toc25250"/>
      <w:bookmarkStart w:id="302" w:name="_Toc6577"/>
      <w:bookmarkStart w:id="303" w:name="_Toc11630"/>
      <w:r>
        <w:rPr>
          <w:rFonts w:hint="eastAsia" w:ascii="楷体_GB2312" w:hAnsi="楷体_GB2312" w:eastAsia="楷体_GB2312" w:cs="楷体_GB2312"/>
          <w:b w:val="0"/>
          <w:bCs w:val="0"/>
          <w:color w:val="000000" w:themeColor="text1"/>
          <w:sz w:val="28"/>
          <w:szCs w:val="28"/>
          <w14:textFill>
            <w14:solidFill>
              <w14:schemeClr w14:val="tx1"/>
            </w14:solidFill>
          </w14:textFill>
        </w:rPr>
        <w:t>（二）建立年度监测评估机制</w:t>
      </w:r>
      <w:bookmarkEnd w:id="300"/>
      <w:bookmarkEnd w:id="301"/>
      <w:bookmarkEnd w:id="302"/>
      <w:bookmarkEnd w:id="303"/>
    </w:p>
    <w:p w14:paraId="0AEF5539">
      <w:pPr>
        <w:pStyle w:val="10"/>
        <w:keepNext w:val="0"/>
        <w:keepLines w:val="0"/>
        <w:pageBreakBefore w:val="0"/>
        <w:widowControl w:val="0"/>
        <w:kinsoku/>
        <w:wordWrap/>
        <w:overflowPunct/>
        <w:topLinePunct w:val="0"/>
        <w:autoSpaceDE/>
        <w:autoSpaceDN/>
        <w:bidi w:val="0"/>
        <w:spacing w:line="540" w:lineRule="exact"/>
        <w:ind w:firstLine="560" w:firstLineChars="200"/>
        <w:textAlignment w:val="auto"/>
        <w:rPr>
          <w:rFonts w:ascii="Times New Roman" w:hAnsi="Times New Roman" w:eastAsia="仿宋_GB2312" w:cs="Times New Roman"/>
          <w:bCs/>
          <w:color w:val="000000" w:themeColor="text1"/>
          <w:kern w:val="0"/>
          <w:sz w:val="28"/>
          <w:szCs w:val="28"/>
          <w14:textFill>
            <w14:solidFill>
              <w14:schemeClr w14:val="tx1"/>
            </w14:solidFill>
          </w14:textFill>
        </w:rPr>
      </w:pPr>
      <w:r>
        <w:rPr>
          <w:rFonts w:ascii="Times New Roman" w:hAnsi="Times New Roman" w:eastAsia="仿宋_GB2312" w:cs="Times New Roman"/>
          <w:bCs/>
          <w:color w:val="000000" w:themeColor="text1"/>
          <w:kern w:val="0"/>
          <w:sz w:val="28"/>
          <w:szCs w:val="28"/>
          <w14:textFill>
            <w14:solidFill>
              <w14:schemeClr w14:val="tx1"/>
            </w14:solidFill>
          </w14:textFill>
        </w:rPr>
        <w:t>建立《</w:t>
      </w:r>
      <w:r>
        <w:rPr>
          <w:rFonts w:hint="eastAsia" w:ascii="Times New Roman" w:hAnsi="Times New Roman" w:eastAsia="仿宋_GB2312" w:cs="Times New Roman"/>
          <w:bCs/>
          <w:color w:val="000000" w:themeColor="text1"/>
          <w:kern w:val="0"/>
          <w:sz w:val="28"/>
          <w:szCs w:val="28"/>
          <w14:textFill>
            <w14:solidFill>
              <w14:schemeClr w14:val="tx1"/>
            </w14:solidFill>
          </w14:textFill>
        </w:rPr>
        <w:t>规划纲要</w:t>
      </w:r>
      <w:r>
        <w:rPr>
          <w:rFonts w:ascii="Times New Roman" w:hAnsi="Times New Roman" w:eastAsia="仿宋_GB2312" w:cs="Times New Roman"/>
          <w:bCs/>
          <w:color w:val="000000" w:themeColor="text1"/>
          <w:kern w:val="0"/>
          <w:sz w:val="28"/>
          <w:szCs w:val="28"/>
          <w14:textFill>
            <w14:solidFill>
              <w14:schemeClr w14:val="tx1"/>
            </w14:solidFill>
          </w14:textFill>
        </w:rPr>
        <w:t>》跨年度滚动实施机制，组织开展重点任务实施情况年度评估并向</w:t>
      </w:r>
      <w:r>
        <w:rPr>
          <w:rFonts w:hint="eastAsia" w:ascii="Times New Roman" w:hAnsi="Times New Roman" w:eastAsia="仿宋_GB2312" w:cs="Times New Roman"/>
          <w:bCs/>
          <w:color w:val="000000" w:themeColor="text1"/>
          <w:kern w:val="0"/>
          <w:sz w:val="28"/>
          <w:szCs w:val="28"/>
          <w14:textFill>
            <w14:solidFill>
              <w14:schemeClr w14:val="tx1"/>
            </w14:solidFill>
          </w14:textFill>
        </w:rPr>
        <w:t>政府</w:t>
      </w:r>
      <w:r>
        <w:rPr>
          <w:rFonts w:ascii="Times New Roman" w:hAnsi="Times New Roman" w:eastAsia="仿宋_GB2312" w:cs="Times New Roman"/>
          <w:bCs/>
          <w:color w:val="000000" w:themeColor="text1"/>
          <w:kern w:val="0"/>
          <w:sz w:val="28"/>
          <w:szCs w:val="28"/>
          <w14:textFill>
            <w14:solidFill>
              <w14:schemeClr w14:val="tx1"/>
            </w14:solidFill>
          </w14:textFill>
        </w:rPr>
        <w:t>报告。各有关部门要针对本领域重点问题，适时开展专项评估。逐步将重点专项规划、</w:t>
      </w:r>
      <w:r>
        <w:rPr>
          <w:rFonts w:hint="eastAsia" w:ascii="Times New Roman" w:hAnsi="Times New Roman" w:eastAsia="仿宋_GB2312" w:cs="Times New Roman"/>
          <w:bCs/>
          <w:color w:val="000000" w:themeColor="text1"/>
          <w:kern w:val="0"/>
          <w:sz w:val="28"/>
          <w:szCs w:val="28"/>
          <w:lang w:eastAsia="zh-CN"/>
          <w14:textFill>
            <w14:solidFill>
              <w14:schemeClr w14:val="tx1"/>
            </w14:solidFill>
          </w14:textFill>
        </w:rPr>
        <w:t>镇</w:t>
      </w:r>
      <w:r>
        <w:rPr>
          <w:rFonts w:ascii="Times New Roman" w:hAnsi="Times New Roman" w:eastAsia="仿宋_GB2312" w:cs="Times New Roman"/>
          <w:bCs/>
          <w:color w:val="000000" w:themeColor="text1"/>
          <w:kern w:val="0"/>
          <w:sz w:val="28"/>
          <w:szCs w:val="28"/>
          <w14:textFill>
            <w14:solidFill>
              <w14:schemeClr w14:val="tx1"/>
            </w14:solidFill>
          </w14:textFill>
        </w:rPr>
        <w:t>区域规划等各类规划实施情况纳入年度监测评估范围。</w:t>
      </w:r>
    </w:p>
    <w:p w14:paraId="268DCD87">
      <w:pPr>
        <w:pStyle w:val="6"/>
        <w:keepNext w:val="0"/>
        <w:keepLines w:val="0"/>
        <w:pageBreakBefore w:val="0"/>
        <w:widowControl w:val="0"/>
        <w:kinsoku/>
        <w:wordWrap/>
        <w:overflowPunct/>
        <w:topLinePunct w:val="0"/>
        <w:autoSpaceDE/>
        <w:autoSpaceDN/>
        <w:bidi w:val="0"/>
        <w:spacing w:before="0" w:after="0" w:line="540" w:lineRule="exact"/>
        <w:ind w:firstLine="560" w:firstLineChars="200"/>
        <w:textAlignment w:val="auto"/>
        <w:rPr>
          <w:rFonts w:ascii="楷体_GB2312" w:hAnsi="楷体_GB2312" w:eastAsia="楷体_GB2312" w:cs="楷体_GB2312"/>
          <w:b w:val="0"/>
          <w:bCs w:val="0"/>
          <w:color w:val="000000" w:themeColor="text1"/>
          <w:sz w:val="28"/>
          <w:szCs w:val="28"/>
          <w14:textFill>
            <w14:solidFill>
              <w14:schemeClr w14:val="tx1"/>
            </w14:solidFill>
          </w14:textFill>
        </w:rPr>
      </w:pPr>
      <w:bookmarkStart w:id="304" w:name="_Toc7785"/>
      <w:bookmarkStart w:id="305" w:name="_Toc19858"/>
      <w:bookmarkStart w:id="306" w:name="_Toc15128"/>
      <w:bookmarkStart w:id="307" w:name="_Toc11206"/>
      <w:r>
        <w:rPr>
          <w:rFonts w:hint="eastAsia" w:ascii="楷体_GB2312" w:hAnsi="楷体_GB2312" w:eastAsia="楷体_GB2312" w:cs="楷体_GB2312"/>
          <w:b w:val="0"/>
          <w:bCs w:val="0"/>
          <w:color w:val="000000" w:themeColor="text1"/>
          <w:sz w:val="28"/>
          <w:szCs w:val="28"/>
          <w14:textFill>
            <w14:solidFill>
              <w14:schemeClr w14:val="tx1"/>
            </w14:solidFill>
          </w14:textFill>
        </w:rPr>
        <w:t>（三）完善</w:t>
      </w:r>
      <w:r>
        <w:rPr>
          <w:rFonts w:hint="eastAsia" w:ascii="楷体_GB2312" w:hAnsi="楷体_GB2312" w:eastAsia="楷体_GB2312" w:cs="楷体_GB2312"/>
          <w:b w:val="0"/>
          <w:bCs w:val="0"/>
          <w:color w:val="000000" w:themeColor="text1"/>
          <w:sz w:val="28"/>
          <w:szCs w:val="28"/>
          <w:lang w:eastAsia="zh-CN"/>
          <w14:textFill>
            <w14:solidFill>
              <w14:schemeClr w14:val="tx1"/>
            </w14:solidFill>
          </w14:textFill>
        </w:rPr>
        <w:t>中期终</w:t>
      </w:r>
      <w:r>
        <w:rPr>
          <w:rFonts w:hint="eastAsia" w:ascii="楷体_GB2312" w:hAnsi="楷体_GB2312" w:eastAsia="楷体_GB2312" w:cs="楷体_GB2312"/>
          <w:b w:val="0"/>
          <w:bCs w:val="0"/>
          <w:color w:val="000000" w:themeColor="text1"/>
          <w:sz w:val="28"/>
          <w:szCs w:val="28"/>
          <w14:textFill>
            <w14:solidFill>
              <w14:schemeClr w14:val="tx1"/>
            </w14:solidFill>
          </w14:textFill>
        </w:rPr>
        <w:t>期评估机制</w:t>
      </w:r>
      <w:bookmarkEnd w:id="304"/>
      <w:bookmarkEnd w:id="305"/>
      <w:bookmarkEnd w:id="306"/>
      <w:bookmarkEnd w:id="307"/>
    </w:p>
    <w:p w14:paraId="56F2BAD5">
      <w:pPr>
        <w:pStyle w:val="10"/>
        <w:keepNext w:val="0"/>
        <w:keepLines w:val="0"/>
        <w:pageBreakBefore w:val="0"/>
        <w:widowControl w:val="0"/>
        <w:kinsoku/>
        <w:wordWrap/>
        <w:overflowPunct/>
        <w:topLinePunct w:val="0"/>
        <w:autoSpaceDE/>
        <w:autoSpaceDN/>
        <w:bidi w:val="0"/>
        <w:spacing w:line="540" w:lineRule="exact"/>
        <w:ind w:firstLine="560" w:firstLineChars="200"/>
        <w:textAlignment w:val="auto"/>
        <w:rPr>
          <w:rFonts w:ascii="Times New Roman" w:hAnsi="Times New Roman" w:eastAsia="仿宋_GB2312" w:cs="Times New Roman"/>
          <w:bCs/>
          <w:color w:val="000000" w:themeColor="text1"/>
          <w:kern w:val="0"/>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县政府适时组织规划实施中期</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和终期</w:t>
      </w:r>
      <w:r>
        <w:rPr>
          <w:rFonts w:ascii="Times New Roman" w:hAnsi="Times New Roman" w:eastAsia="仿宋_GB2312" w:cs="Times New Roman"/>
          <w:color w:val="000000" w:themeColor="text1"/>
          <w:sz w:val="28"/>
          <w:szCs w:val="28"/>
          <w14:textFill>
            <w14:solidFill>
              <w14:schemeClr w14:val="tx1"/>
            </w14:solidFill>
          </w14:textFill>
        </w:rPr>
        <w:t>评估，评估报告提交县人大常委会审议；</w:t>
      </w:r>
      <w:r>
        <w:rPr>
          <w:rFonts w:ascii="Times New Roman" w:hAnsi="Times New Roman" w:eastAsia="仿宋_GB2312" w:cs="Times New Roman"/>
          <w:bCs/>
          <w:color w:val="000000" w:themeColor="text1"/>
          <w:kern w:val="0"/>
          <w:sz w:val="28"/>
          <w:szCs w:val="28"/>
          <w14:textFill>
            <w14:solidFill>
              <w14:schemeClr w14:val="tx1"/>
            </w14:solidFill>
          </w14:textFill>
        </w:rPr>
        <w:t>《</w:t>
      </w:r>
      <w:r>
        <w:rPr>
          <w:rFonts w:hint="eastAsia" w:ascii="Times New Roman" w:hAnsi="Times New Roman" w:eastAsia="仿宋_GB2312" w:cs="Times New Roman"/>
          <w:bCs/>
          <w:color w:val="000000" w:themeColor="text1"/>
          <w:kern w:val="0"/>
          <w:sz w:val="28"/>
          <w:szCs w:val="28"/>
          <w14:textFill>
            <w14:solidFill>
              <w14:schemeClr w14:val="tx1"/>
            </w14:solidFill>
          </w14:textFill>
        </w:rPr>
        <w:t>规划纲要</w:t>
      </w:r>
      <w:r>
        <w:rPr>
          <w:rFonts w:ascii="Times New Roman" w:hAnsi="Times New Roman" w:eastAsia="仿宋_GB2312" w:cs="Times New Roman"/>
          <w:bCs/>
          <w:color w:val="000000" w:themeColor="text1"/>
          <w:kern w:val="0"/>
          <w:sz w:val="28"/>
          <w:szCs w:val="28"/>
          <w14:textFill>
            <w14:solidFill>
              <w14:schemeClr w14:val="tx1"/>
            </w14:solidFill>
          </w14:textFill>
        </w:rPr>
        <w:t>》中期评估和</w:t>
      </w:r>
      <w:r>
        <w:rPr>
          <w:rFonts w:hint="eastAsia" w:ascii="Times New Roman" w:hAnsi="Times New Roman" w:eastAsia="仿宋_GB2312" w:cs="Times New Roman"/>
          <w:bCs/>
          <w:color w:val="000000" w:themeColor="text1"/>
          <w:kern w:val="0"/>
          <w:sz w:val="28"/>
          <w:szCs w:val="28"/>
          <w14:textFill>
            <w14:solidFill>
              <w14:schemeClr w14:val="tx1"/>
            </w14:solidFill>
          </w14:textFill>
        </w:rPr>
        <w:t>终期</w:t>
      </w:r>
      <w:r>
        <w:rPr>
          <w:rFonts w:ascii="Times New Roman" w:hAnsi="Times New Roman" w:eastAsia="仿宋_GB2312" w:cs="Times New Roman"/>
          <w:bCs/>
          <w:color w:val="000000" w:themeColor="text1"/>
          <w:kern w:val="0"/>
          <w:sz w:val="28"/>
          <w:szCs w:val="28"/>
          <w14:textFill>
            <w14:solidFill>
              <w14:schemeClr w14:val="tx1"/>
            </w14:solidFill>
          </w14:textFill>
        </w:rPr>
        <w:t>评估结果要按程序报批</w:t>
      </w:r>
      <w:r>
        <w:rPr>
          <w:rFonts w:hint="eastAsia" w:ascii="Times New Roman" w:hAnsi="Times New Roman" w:eastAsia="仿宋_GB2312" w:cs="Times New Roman"/>
          <w:bCs/>
          <w:color w:val="000000" w:themeColor="text1"/>
          <w:kern w:val="0"/>
          <w:sz w:val="28"/>
          <w:szCs w:val="28"/>
          <w14:textFill>
            <w14:solidFill>
              <w14:schemeClr w14:val="tx1"/>
            </w14:solidFill>
          </w14:textFill>
        </w:rPr>
        <w:t>，</w:t>
      </w:r>
      <w:r>
        <w:rPr>
          <w:rFonts w:ascii="Times New Roman" w:hAnsi="Times New Roman" w:eastAsia="仿宋_GB2312" w:cs="Times New Roman"/>
          <w:bCs/>
          <w:color w:val="000000" w:themeColor="text1"/>
          <w:kern w:val="0"/>
          <w:sz w:val="28"/>
          <w:szCs w:val="28"/>
          <w14:textFill>
            <w14:solidFill>
              <w14:schemeClr w14:val="tx1"/>
            </w14:solidFill>
          </w14:textFill>
        </w:rPr>
        <w:t>专项规划、区域规划等各类规划都要开展中期评估及</w:t>
      </w:r>
      <w:r>
        <w:rPr>
          <w:rFonts w:hint="eastAsia" w:ascii="Times New Roman" w:hAnsi="Times New Roman" w:eastAsia="仿宋_GB2312" w:cs="Times New Roman"/>
          <w:bCs/>
          <w:color w:val="000000" w:themeColor="text1"/>
          <w:kern w:val="0"/>
          <w:sz w:val="28"/>
          <w:szCs w:val="28"/>
          <w14:textFill>
            <w14:solidFill>
              <w14:schemeClr w14:val="tx1"/>
            </w14:solidFill>
          </w14:textFill>
        </w:rPr>
        <w:t>终期</w:t>
      </w:r>
      <w:r>
        <w:rPr>
          <w:rFonts w:ascii="Times New Roman" w:hAnsi="Times New Roman" w:eastAsia="仿宋_GB2312" w:cs="Times New Roman"/>
          <w:bCs/>
          <w:color w:val="000000" w:themeColor="text1"/>
          <w:kern w:val="0"/>
          <w:sz w:val="28"/>
          <w:szCs w:val="28"/>
          <w14:textFill>
            <w14:solidFill>
              <w14:schemeClr w14:val="tx1"/>
            </w14:solidFill>
          </w14:textFill>
        </w:rPr>
        <w:t>评估。要充分借助智库等专业资源，</w:t>
      </w:r>
      <w:r>
        <w:rPr>
          <w:rFonts w:hint="eastAsia" w:ascii="Times New Roman" w:hAnsi="Times New Roman" w:eastAsia="仿宋_GB2312" w:cs="Times New Roman"/>
          <w:bCs/>
          <w:color w:val="000000" w:themeColor="text1"/>
          <w:kern w:val="0"/>
          <w:sz w:val="28"/>
          <w:szCs w:val="28"/>
          <w14:textFill>
            <w14:solidFill>
              <w14:schemeClr w14:val="tx1"/>
            </w14:solidFill>
          </w14:textFill>
        </w:rPr>
        <w:t>探索</w:t>
      </w:r>
      <w:r>
        <w:rPr>
          <w:rFonts w:ascii="Times New Roman" w:hAnsi="Times New Roman" w:eastAsia="仿宋_GB2312" w:cs="Times New Roman"/>
          <w:bCs/>
          <w:color w:val="000000" w:themeColor="text1"/>
          <w:kern w:val="0"/>
          <w:sz w:val="28"/>
          <w:szCs w:val="28"/>
          <w14:textFill>
            <w14:solidFill>
              <w14:schemeClr w14:val="tx1"/>
            </w14:solidFill>
          </w14:textFill>
        </w:rPr>
        <w:t>开展第三方</w:t>
      </w:r>
      <w:r>
        <w:rPr>
          <w:rFonts w:hint="eastAsia" w:ascii="Times New Roman" w:hAnsi="Times New Roman" w:eastAsia="仿宋_GB2312" w:cs="Times New Roman"/>
          <w:bCs/>
          <w:color w:val="000000" w:themeColor="text1"/>
          <w:kern w:val="0"/>
          <w:sz w:val="28"/>
          <w:szCs w:val="28"/>
          <w14:textFill>
            <w14:solidFill>
              <w14:schemeClr w14:val="tx1"/>
            </w14:solidFill>
          </w14:textFill>
        </w:rPr>
        <w:t>专业</w:t>
      </w:r>
      <w:r>
        <w:rPr>
          <w:rFonts w:ascii="Times New Roman" w:hAnsi="Times New Roman" w:eastAsia="仿宋_GB2312" w:cs="Times New Roman"/>
          <w:bCs/>
          <w:color w:val="000000" w:themeColor="text1"/>
          <w:kern w:val="0"/>
          <w:sz w:val="28"/>
          <w:szCs w:val="28"/>
          <w14:textFill>
            <w14:solidFill>
              <w14:schemeClr w14:val="tx1"/>
            </w14:solidFill>
          </w14:textFill>
        </w:rPr>
        <w:t>评估。</w:t>
      </w:r>
    </w:p>
    <w:p w14:paraId="65768204">
      <w:pPr>
        <w:pStyle w:val="6"/>
        <w:keepNext w:val="0"/>
        <w:keepLines w:val="0"/>
        <w:pageBreakBefore w:val="0"/>
        <w:widowControl w:val="0"/>
        <w:kinsoku/>
        <w:wordWrap/>
        <w:overflowPunct/>
        <w:topLinePunct w:val="0"/>
        <w:autoSpaceDE/>
        <w:autoSpaceDN/>
        <w:bidi w:val="0"/>
        <w:spacing w:before="0" w:after="0" w:line="540" w:lineRule="exact"/>
        <w:ind w:firstLine="560" w:firstLineChars="200"/>
        <w:textAlignment w:val="auto"/>
        <w:rPr>
          <w:rFonts w:ascii="楷体_GB2312" w:hAnsi="楷体_GB2312" w:eastAsia="楷体_GB2312" w:cs="楷体_GB2312"/>
          <w:b w:val="0"/>
          <w:bCs w:val="0"/>
          <w:color w:val="000000" w:themeColor="text1"/>
          <w:sz w:val="28"/>
          <w:szCs w:val="28"/>
          <w14:textFill>
            <w14:solidFill>
              <w14:schemeClr w14:val="tx1"/>
            </w14:solidFill>
          </w14:textFill>
        </w:rPr>
      </w:pPr>
      <w:bookmarkStart w:id="308" w:name="_Toc1601"/>
      <w:bookmarkStart w:id="309" w:name="_Toc3021"/>
      <w:bookmarkStart w:id="310" w:name="_Toc15677"/>
      <w:bookmarkStart w:id="311" w:name="_Toc15071"/>
      <w:r>
        <w:rPr>
          <w:rFonts w:hint="eastAsia" w:ascii="楷体_GB2312" w:hAnsi="楷体_GB2312" w:eastAsia="楷体_GB2312" w:cs="楷体_GB2312"/>
          <w:b w:val="0"/>
          <w:bCs w:val="0"/>
          <w:color w:val="000000" w:themeColor="text1"/>
          <w:sz w:val="28"/>
          <w:szCs w:val="28"/>
          <w14:textFill>
            <w14:solidFill>
              <w14:schemeClr w14:val="tx1"/>
            </w14:solidFill>
          </w14:textFill>
        </w:rPr>
        <w:t>（四）健全动态调整修订机制</w:t>
      </w:r>
      <w:bookmarkEnd w:id="308"/>
      <w:bookmarkEnd w:id="309"/>
      <w:bookmarkEnd w:id="310"/>
      <w:bookmarkEnd w:id="311"/>
    </w:p>
    <w:p w14:paraId="69D21D4D">
      <w:pPr>
        <w:pStyle w:val="10"/>
        <w:keepNext w:val="0"/>
        <w:keepLines w:val="0"/>
        <w:pageBreakBefore w:val="0"/>
        <w:widowControl w:val="0"/>
        <w:kinsoku/>
        <w:wordWrap/>
        <w:overflowPunct/>
        <w:topLinePunct w:val="0"/>
        <w:autoSpaceDE/>
        <w:autoSpaceDN/>
        <w:bidi w:val="0"/>
        <w:spacing w:line="540" w:lineRule="exact"/>
        <w:ind w:firstLine="560" w:firstLineChars="200"/>
        <w:textAlignment w:val="auto"/>
        <w:rPr>
          <w:rFonts w:ascii="Times New Roman" w:hAnsi="Times New Roman" w:eastAsia="仿宋_GB2312" w:cs="Times New Roman"/>
          <w:bCs/>
          <w:color w:val="000000" w:themeColor="text1"/>
          <w:kern w:val="0"/>
          <w:sz w:val="28"/>
          <w:szCs w:val="28"/>
          <w14:textFill>
            <w14:solidFill>
              <w14:schemeClr w14:val="tx1"/>
            </w14:solidFill>
          </w14:textFill>
        </w:rPr>
      </w:pPr>
      <w:r>
        <w:rPr>
          <w:rFonts w:ascii="Times New Roman" w:hAnsi="Times New Roman" w:eastAsia="仿宋_GB2312" w:cs="Times New Roman"/>
          <w:bCs/>
          <w:color w:val="000000" w:themeColor="text1"/>
          <w:kern w:val="0"/>
          <w:sz w:val="28"/>
          <w:szCs w:val="28"/>
          <w14:textFill>
            <w14:solidFill>
              <w14:schemeClr w14:val="tx1"/>
            </w14:solidFill>
          </w14:textFill>
        </w:rPr>
        <w:t>基于《</w:t>
      </w:r>
      <w:r>
        <w:rPr>
          <w:rFonts w:hint="eastAsia" w:ascii="Times New Roman" w:hAnsi="Times New Roman" w:eastAsia="仿宋_GB2312" w:cs="Times New Roman"/>
          <w:bCs/>
          <w:color w:val="000000" w:themeColor="text1"/>
          <w:kern w:val="0"/>
          <w:sz w:val="28"/>
          <w:szCs w:val="28"/>
          <w14:textFill>
            <w14:solidFill>
              <w14:schemeClr w14:val="tx1"/>
            </w14:solidFill>
          </w14:textFill>
        </w:rPr>
        <w:t>规划纲要</w:t>
      </w:r>
      <w:r>
        <w:rPr>
          <w:rFonts w:ascii="Times New Roman" w:hAnsi="Times New Roman" w:eastAsia="仿宋_GB2312" w:cs="Times New Roman"/>
          <w:bCs/>
          <w:color w:val="000000" w:themeColor="text1"/>
          <w:kern w:val="0"/>
          <w:sz w:val="28"/>
          <w:szCs w:val="28"/>
          <w14:textFill>
            <w14:solidFill>
              <w14:schemeClr w14:val="tx1"/>
            </w14:solidFill>
          </w14:textFill>
        </w:rPr>
        <w:t>》监测分析及评估结果，确需调整时，按程序报批后提交人大审议批准。严格规范规划调整修订机制，未经法定程序批准，不得随意调整主要目标任务。专项规划、区域规划等各类规划的编制主体负责向审批主体提出修订调整建议。</w:t>
      </w:r>
    </w:p>
    <w:p w14:paraId="75A67F5A">
      <w:pPr>
        <w:pStyle w:val="5"/>
        <w:keepNext w:val="0"/>
        <w:keepLines w:val="0"/>
        <w:pageBreakBefore w:val="0"/>
        <w:widowControl w:val="0"/>
        <w:kinsoku/>
        <w:wordWrap/>
        <w:overflowPunct/>
        <w:topLinePunct w:val="0"/>
        <w:autoSpaceDE/>
        <w:autoSpaceDN/>
        <w:bidi w:val="0"/>
        <w:spacing w:before="0" w:after="0" w:line="540" w:lineRule="exact"/>
        <w:ind w:firstLine="560" w:firstLineChars="200"/>
        <w:textAlignment w:val="auto"/>
        <w:rPr>
          <w:rFonts w:ascii="黑体" w:hAnsi="黑体" w:eastAsia="黑体"/>
          <w:b w:val="0"/>
          <w:bCs w:val="0"/>
          <w:color w:val="000000" w:themeColor="text1"/>
          <w:sz w:val="28"/>
          <w:szCs w:val="28"/>
          <w14:textFill>
            <w14:solidFill>
              <w14:schemeClr w14:val="tx1"/>
            </w14:solidFill>
          </w14:textFill>
        </w:rPr>
      </w:pPr>
      <w:bookmarkStart w:id="312" w:name="_Toc31832"/>
      <w:bookmarkStart w:id="313" w:name="_Toc11172"/>
      <w:bookmarkStart w:id="314" w:name="_Toc14413"/>
      <w:bookmarkStart w:id="315" w:name="_Toc13827"/>
      <w:bookmarkStart w:id="316" w:name="_Toc15250"/>
      <w:r>
        <w:rPr>
          <w:rFonts w:hint="eastAsia" w:ascii="黑体" w:hAnsi="黑体" w:eastAsia="黑体"/>
          <w:b w:val="0"/>
          <w:bCs w:val="0"/>
          <w:color w:val="000000" w:themeColor="text1"/>
          <w:sz w:val="28"/>
          <w:szCs w:val="28"/>
          <w14:textFill>
            <w14:solidFill>
              <w14:schemeClr w14:val="tx1"/>
            </w14:solidFill>
          </w14:textFill>
        </w:rPr>
        <w:t>四、完善监督考核机制</w:t>
      </w:r>
      <w:bookmarkEnd w:id="312"/>
      <w:bookmarkEnd w:id="313"/>
      <w:bookmarkEnd w:id="314"/>
      <w:bookmarkEnd w:id="315"/>
      <w:bookmarkEnd w:id="316"/>
    </w:p>
    <w:p w14:paraId="6EA77D61">
      <w:pPr>
        <w:pStyle w:val="6"/>
        <w:keepNext w:val="0"/>
        <w:keepLines w:val="0"/>
        <w:pageBreakBefore w:val="0"/>
        <w:widowControl w:val="0"/>
        <w:kinsoku/>
        <w:wordWrap/>
        <w:overflowPunct/>
        <w:topLinePunct w:val="0"/>
        <w:autoSpaceDE/>
        <w:autoSpaceDN/>
        <w:bidi w:val="0"/>
        <w:spacing w:before="0" w:after="0" w:line="540" w:lineRule="exact"/>
        <w:ind w:firstLine="560" w:firstLineChars="200"/>
        <w:textAlignment w:val="auto"/>
        <w:rPr>
          <w:rFonts w:ascii="楷体_GB2312" w:hAnsi="楷体_GB2312" w:eastAsia="楷体_GB2312" w:cs="楷体_GB2312"/>
          <w:b w:val="0"/>
          <w:bCs w:val="0"/>
          <w:color w:val="000000" w:themeColor="text1"/>
          <w:sz w:val="28"/>
          <w:szCs w:val="28"/>
          <w14:textFill>
            <w14:solidFill>
              <w14:schemeClr w14:val="tx1"/>
            </w14:solidFill>
          </w14:textFill>
        </w:rPr>
      </w:pPr>
      <w:bookmarkStart w:id="317" w:name="_Toc18995"/>
      <w:bookmarkStart w:id="318" w:name="_Toc1552"/>
      <w:bookmarkStart w:id="319" w:name="_Toc16644"/>
      <w:bookmarkStart w:id="320" w:name="_Toc14066"/>
      <w:r>
        <w:rPr>
          <w:rFonts w:hint="eastAsia" w:ascii="楷体_GB2312" w:hAnsi="楷体_GB2312" w:eastAsia="楷体_GB2312" w:cs="楷体_GB2312"/>
          <w:b w:val="0"/>
          <w:bCs w:val="0"/>
          <w:color w:val="000000" w:themeColor="text1"/>
          <w:sz w:val="28"/>
          <w:szCs w:val="28"/>
          <w14:textFill>
            <w14:solidFill>
              <w14:schemeClr w14:val="tx1"/>
            </w14:solidFill>
          </w14:textFill>
        </w:rPr>
        <w:t>（一）服从党和国家的监督管理</w:t>
      </w:r>
      <w:bookmarkEnd w:id="317"/>
    </w:p>
    <w:p w14:paraId="212ACC3D">
      <w:pPr>
        <w:pStyle w:val="10"/>
        <w:keepNext w:val="0"/>
        <w:keepLines w:val="0"/>
        <w:pageBreakBefore w:val="0"/>
        <w:widowControl w:val="0"/>
        <w:kinsoku/>
        <w:wordWrap/>
        <w:overflowPunct/>
        <w:topLinePunct w:val="0"/>
        <w:autoSpaceDE/>
        <w:autoSpaceDN/>
        <w:bidi w:val="0"/>
        <w:spacing w:line="540" w:lineRule="exact"/>
        <w:ind w:firstLine="560" w:firstLineChars="200"/>
        <w:textAlignment w:val="auto"/>
        <w:rPr>
          <w:rFonts w:ascii="Times New Roman" w:hAnsi="Times New Roman" w:eastAsia="仿宋_GB2312" w:cs="Times New Roman"/>
          <w:bCs/>
          <w:color w:val="000000" w:themeColor="text1"/>
          <w:kern w:val="0"/>
          <w:sz w:val="28"/>
          <w:szCs w:val="28"/>
          <w14:textFill>
            <w14:solidFill>
              <w14:schemeClr w14:val="tx1"/>
            </w14:solidFill>
          </w14:textFill>
        </w:rPr>
      </w:pPr>
      <w:r>
        <w:rPr>
          <w:rFonts w:hint="eastAsia" w:ascii="Times New Roman" w:hAnsi="Times New Roman" w:eastAsia="仿宋_GB2312" w:cs="Times New Roman"/>
          <w:bCs/>
          <w:color w:val="000000" w:themeColor="text1"/>
          <w:kern w:val="0"/>
          <w:sz w:val="28"/>
          <w:szCs w:val="28"/>
          <w14:textFill>
            <w14:solidFill>
              <w14:schemeClr w14:val="tx1"/>
            </w14:solidFill>
          </w14:textFill>
        </w:rPr>
        <w:t>全面落实</w:t>
      </w:r>
      <w:r>
        <w:rPr>
          <w:rFonts w:ascii="Times New Roman" w:hAnsi="Times New Roman" w:eastAsia="仿宋_GB2312" w:cs="Times New Roman"/>
          <w:bCs/>
          <w:color w:val="000000" w:themeColor="text1"/>
          <w:kern w:val="0"/>
          <w:sz w:val="28"/>
          <w:szCs w:val="28"/>
          <w14:textFill>
            <w14:solidFill>
              <w14:schemeClr w14:val="tx1"/>
            </w14:solidFill>
          </w14:textFill>
        </w:rPr>
        <w:t>习近平总书记在党的十九届中央纪委五次全会上的重要讲话</w:t>
      </w:r>
      <w:r>
        <w:rPr>
          <w:rFonts w:hint="eastAsia" w:ascii="Times New Roman" w:hAnsi="Times New Roman" w:eastAsia="仿宋_GB2312" w:cs="Times New Roman"/>
          <w:bCs/>
          <w:color w:val="000000" w:themeColor="text1"/>
          <w:kern w:val="0"/>
          <w:sz w:val="28"/>
          <w:szCs w:val="28"/>
          <w14:textFill>
            <w14:solidFill>
              <w14:schemeClr w14:val="tx1"/>
            </w14:solidFill>
          </w14:textFill>
        </w:rPr>
        <w:t>要求，“完善党和国家监督体系，把监督融入‘十四五’建设中”。</w:t>
      </w:r>
      <w:r>
        <w:rPr>
          <w:rFonts w:ascii="Times New Roman" w:hAnsi="Times New Roman" w:eastAsia="仿宋_GB2312" w:cs="Times New Roman"/>
          <w:bCs/>
          <w:color w:val="000000" w:themeColor="text1"/>
          <w:kern w:val="0"/>
          <w:sz w:val="28"/>
          <w:szCs w:val="28"/>
          <w14:textFill>
            <w14:solidFill>
              <w14:schemeClr w14:val="tx1"/>
            </w14:solidFill>
          </w14:textFill>
        </w:rPr>
        <w:t>要通过有效的监督维护全面从严治党的引领保障作用，把党建设得更加坚强有力，更好领导实现“十四五”规划的各项目标任务。</w:t>
      </w:r>
      <w:r>
        <w:rPr>
          <w:rFonts w:hint="eastAsia" w:ascii="Times New Roman" w:hAnsi="Times New Roman" w:eastAsia="仿宋_GB2312" w:cs="Times New Roman"/>
          <w:bCs/>
          <w:color w:val="000000" w:themeColor="text1"/>
          <w:kern w:val="0"/>
          <w:sz w:val="28"/>
          <w:szCs w:val="28"/>
          <w14:textFill>
            <w14:solidFill>
              <w14:schemeClr w14:val="tx1"/>
            </w14:solidFill>
          </w14:textFill>
        </w:rPr>
        <w:t>要</w:t>
      </w:r>
      <w:r>
        <w:rPr>
          <w:rFonts w:ascii="Times New Roman" w:hAnsi="Times New Roman" w:eastAsia="仿宋_GB2312" w:cs="Times New Roman"/>
          <w:bCs/>
          <w:color w:val="000000" w:themeColor="text1"/>
          <w:kern w:val="0"/>
          <w:sz w:val="28"/>
          <w:szCs w:val="28"/>
          <w14:textFill>
            <w14:solidFill>
              <w14:schemeClr w14:val="tx1"/>
            </w14:solidFill>
          </w14:textFill>
        </w:rPr>
        <w:t>从根本宗旨、问题导向、忧患意识贯彻新发展理念，构建新发展格局。要落实主体责任和监督专责，充分发挥纪检监察机关监督保障执行作用，促进完善发展功能，知责于心、担责于身、履责于行。</w:t>
      </w:r>
    </w:p>
    <w:p w14:paraId="7009876C">
      <w:pPr>
        <w:pStyle w:val="6"/>
        <w:keepNext w:val="0"/>
        <w:keepLines w:val="0"/>
        <w:pageBreakBefore w:val="0"/>
        <w:widowControl w:val="0"/>
        <w:kinsoku/>
        <w:wordWrap/>
        <w:overflowPunct/>
        <w:topLinePunct w:val="0"/>
        <w:autoSpaceDE/>
        <w:autoSpaceDN/>
        <w:bidi w:val="0"/>
        <w:spacing w:before="0" w:after="0" w:line="540" w:lineRule="exact"/>
        <w:ind w:firstLine="560" w:firstLineChars="200"/>
        <w:textAlignment w:val="auto"/>
        <w:rPr>
          <w:rFonts w:ascii="楷体_GB2312" w:hAnsi="楷体_GB2312" w:eastAsia="楷体_GB2312" w:cs="楷体_GB2312"/>
          <w:b w:val="0"/>
          <w:bCs w:val="0"/>
          <w:color w:val="000000" w:themeColor="text1"/>
          <w:sz w:val="28"/>
          <w:szCs w:val="28"/>
          <w14:textFill>
            <w14:solidFill>
              <w14:schemeClr w14:val="tx1"/>
            </w14:solidFill>
          </w14:textFill>
        </w:rPr>
      </w:pPr>
      <w:bookmarkStart w:id="321" w:name="_Toc31405"/>
      <w:r>
        <w:rPr>
          <w:rFonts w:hint="eastAsia" w:ascii="楷体_GB2312" w:hAnsi="楷体_GB2312" w:eastAsia="楷体_GB2312" w:cs="楷体_GB2312"/>
          <w:b w:val="0"/>
          <w:bCs w:val="0"/>
          <w:color w:val="000000" w:themeColor="text1"/>
          <w:sz w:val="28"/>
          <w:szCs w:val="28"/>
          <w14:textFill>
            <w14:solidFill>
              <w14:schemeClr w14:val="tx1"/>
            </w14:solidFill>
          </w14:textFill>
        </w:rPr>
        <w:t>（二）强化人大监督作用</w:t>
      </w:r>
      <w:bookmarkEnd w:id="318"/>
      <w:bookmarkEnd w:id="319"/>
      <w:bookmarkEnd w:id="320"/>
      <w:bookmarkEnd w:id="321"/>
    </w:p>
    <w:p w14:paraId="171DE93E">
      <w:pPr>
        <w:pStyle w:val="10"/>
        <w:keepNext w:val="0"/>
        <w:keepLines w:val="0"/>
        <w:pageBreakBefore w:val="0"/>
        <w:widowControl w:val="0"/>
        <w:kinsoku/>
        <w:wordWrap/>
        <w:overflowPunct/>
        <w:topLinePunct w:val="0"/>
        <w:autoSpaceDE/>
        <w:autoSpaceDN/>
        <w:bidi w:val="0"/>
        <w:spacing w:line="540" w:lineRule="exact"/>
        <w:ind w:firstLine="560" w:firstLineChars="200"/>
        <w:textAlignment w:val="auto"/>
        <w:rPr>
          <w:rFonts w:ascii="Times New Roman" w:hAnsi="Times New Roman" w:eastAsia="仿宋_GB2312" w:cs="Times New Roman"/>
          <w:bCs/>
          <w:color w:val="000000" w:themeColor="text1"/>
          <w:kern w:val="0"/>
          <w:sz w:val="28"/>
          <w:szCs w:val="28"/>
          <w14:textFill>
            <w14:solidFill>
              <w14:schemeClr w14:val="tx1"/>
            </w14:solidFill>
          </w14:textFill>
        </w:rPr>
      </w:pPr>
      <w:r>
        <w:rPr>
          <w:rFonts w:ascii="Times New Roman" w:hAnsi="Times New Roman" w:eastAsia="仿宋_GB2312" w:cs="Times New Roman"/>
          <w:bCs/>
          <w:color w:val="000000" w:themeColor="text1"/>
          <w:kern w:val="0"/>
          <w:sz w:val="28"/>
          <w:szCs w:val="28"/>
          <w14:textFill>
            <w14:solidFill>
              <w14:schemeClr w14:val="tx1"/>
            </w14:solidFill>
          </w14:textFill>
        </w:rPr>
        <w:t>要依法向</w:t>
      </w:r>
      <w:r>
        <w:rPr>
          <w:rFonts w:hint="eastAsia" w:ascii="Times New Roman" w:hAnsi="Times New Roman" w:eastAsia="仿宋_GB2312" w:cs="Times New Roman"/>
          <w:bCs/>
          <w:color w:val="000000" w:themeColor="text1"/>
          <w:kern w:val="0"/>
          <w:sz w:val="28"/>
          <w:szCs w:val="28"/>
          <w14:textFill>
            <w14:solidFill>
              <w14:schemeClr w14:val="tx1"/>
            </w14:solidFill>
          </w14:textFill>
        </w:rPr>
        <w:t>县</w:t>
      </w:r>
      <w:r>
        <w:rPr>
          <w:rFonts w:ascii="Times New Roman" w:hAnsi="Times New Roman" w:eastAsia="仿宋_GB2312" w:cs="Times New Roman"/>
          <w:bCs/>
          <w:color w:val="000000" w:themeColor="text1"/>
          <w:kern w:val="0"/>
          <w:sz w:val="28"/>
          <w:szCs w:val="28"/>
          <w14:textFill>
            <w14:solidFill>
              <w14:schemeClr w14:val="tx1"/>
            </w14:solidFill>
          </w14:textFill>
        </w:rPr>
        <w:t>人大报告《</w:t>
      </w:r>
      <w:r>
        <w:rPr>
          <w:rFonts w:hint="eastAsia" w:ascii="Times New Roman" w:hAnsi="Times New Roman" w:eastAsia="仿宋_GB2312" w:cs="Times New Roman"/>
          <w:bCs/>
          <w:color w:val="000000" w:themeColor="text1"/>
          <w:kern w:val="0"/>
          <w:sz w:val="28"/>
          <w:szCs w:val="28"/>
          <w14:textFill>
            <w14:solidFill>
              <w14:schemeClr w14:val="tx1"/>
            </w14:solidFill>
          </w14:textFill>
        </w:rPr>
        <w:t>规划纲要</w:t>
      </w:r>
      <w:r>
        <w:rPr>
          <w:rFonts w:ascii="Times New Roman" w:hAnsi="Times New Roman" w:eastAsia="仿宋_GB2312" w:cs="Times New Roman"/>
          <w:bCs/>
          <w:color w:val="000000" w:themeColor="text1"/>
          <w:kern w:val="0"/>
          <w:sz w:val="28"/>
          <w:szCs w:val="28"/>
          <w14:textFill>
            <w14:solidFill>
              <w14:schemeClr w14:val="tx1"/>
            </w14:solidFill>
          </w14:textFill>
        </w:rPr>
        <w:t>》实施情况和中期评估报告，自觉接受人大监督，认真研究处理审议意见，及时报告整改结果。要高度重视人大代表的意见建议，鼓励人大代表跟踪监督《</w:t>
      </w:r>
      <w:r>
        <w:rPr>
          <w:rFonts w:hint="eastAsia" w:ascii="Times New Roman" w:hAnsi="Times New Roman" w:eastAsia="仿宋_GB2312" w:cs="Times New Roman"/>
          <w:bCs/>
          <w:color w:val="000000" w:themeColor="text1"/>
          <w:kern w:val="0"/>
          <w:sz w:val="28"/>
          <w:szCs w:val="28"/>
          <w14:textFill>
            <w14:solidFill>
              <w14:schemeClr w14:val="tx1"/>
            </w14:solidFill>
          </w14:textFill>
        </w:rPr>
        <w:t>规划纲要</w:t>
      </w:r>
      <w:r>
        <w:rPr>
          <w:rFonts w:ascii="Times New Roman" w:hAnsi="Times New Roman" w:eastAsia="仿宋_GB2312" w:cs="Times New Roman"/>
          <w:bCs/>
          <w:color w:val="000000" w:themeColor="text1"/>
          <w:kern w:val="0"/>
          <w:sz w:val="28"/>
          <w:szCs w:val="28"/>
          <w14:textFill>
            <w14:solidFill>
              <w14:schemeClr w14:val="tx1"/>
            </w14:solidFill>
          </w14:textFill>
        </w:rPr>
        <w:t>》实施情况，充分发挥代表建议和代表专题调研、集中视察对《</w:t>
      </w:r>
      <w:r>
        <w:rPr>
          <w:rFonts w:hint="eastAsia" w:ascii="Times New Roman" w:hAnsi="Times New Roman" w:eastAsia="仿宋_GB2312" w:cs="Times New Roman"/>
          <w:bCs/>
          <w:color w:val="000000" w:themeColor="text1"/>
          <w:kern w:val="0"/>
          <w:sz w:val="28"/>
          <w:szCs w:val="28"/>
          <w14:textFill>
            <w14:solidFill>
              <w14:schemeClr w14:val="tx1"/>
            </w14:solidFill>
          </w14:textFill>
        </w:rPr>
        <w:t>规划纲要</w:t>
      </w:r>
      <w:r>
        <w:rPr>
          <w:rFonts w:ascii="Times New Roman" w:hAnsi="Times New Roman" w:eastAsia="仿宋_GB2312" w:cs="Times New Roman"/>
          <w:bCs/>
          <w:color w:val="000000" w:themeColor="text1"/>
          <w:kern w:val="0"/>
          <w:sz w:val="28"/>
          <w:szCs w:val="28"/>
          <w14:textFill>
            <w14:solidFill>
              <w14:schemeClr w14:val="tx1"/>
            </w14:solidFill>
          </w14:textFill>
        </w:rPr>
        <w:t>》实施的推动作用。</w:t>
      </w:r>
    </w:p>
    <w:p w14:paraId="7BD901A6">
      <w:pPr>
        <w:pStyle w:val="6"/>
        <w:keepNext w:val="0"/>
        <w:keepLines w:val="0"/>
        <w:pageBreakBefore w:val="0"/>
        <w:widowControl w:val="0"/>
        <w:kinsoku/>
        <w:wordWrap/>
        <w:overflowPunct/>
        <w:topLinePunct w:val="0"/>
        <w:autoSpaceDE/>
        <w:autoSpaceDN/>
        <w:bidi w:val="0"/>
        <w:spacing w:before="0" w:after="0" w:line="540" w:lineRule="exact"/>
        <w:ind w:firstLine="560" w:firstLineChars="200"/>
        <w:textAlignment w:val="auto"/>
        <w:rPr>
          <w:rFonts w:ascii="楷体_GB2312" w:hAnsi="楷体_GB2312" w:eastAsia="楷体_GB2312" w:cs="楷体_GB2312"/>
          <w:b w:val="0"/>
          <w:bCs w:val="0"/>
          <w:color w:val="000000" w:themeColor="text1"/>
          <w:sz w:val="28"/>
          <w:szCs w:val="28"/>
          <w14:textFill>
            <w14:solidFill>
              <w14:schemeClr w14:val="tx1"/>
            </w14:solidFill>
          </w14:textFill>
        </w:rPr>
      </w:pPr>
      <w:bookmarkStart w:id="322" w:name="_Toc1678"/>
      <w:bookmarkStart w:id="323" w:name="_Toc30604"/>
      <w:bookmarkStart w:id="324" w:name="_Toc10369"/>
      <w:bookmarkStart w:id="325" w:name="_Toc32457"/>
      <w:r>
        <w:rPr>
          <w:rFonts w:hint="eastAsia" w:ascii="楷体_GB2312" w:hAnsi="楷体_GB2312" w:eastAsia="楷体_GB2312" w:cs="楷体_GB2312"/>
          <w:b w:val="0"/>
          <w:bCs w:val="0"/>
          <w:color w:val="000000" w:themeColor="text1"/>
          <w:sz w:val="28"/>
          <w:szCs w:val="28"/>
          <w14:textFill>
            <w14:solidFill>
              <w14:schemeClr w14:val="tx1"/>
            </w14:solidFill>
          </w14:textFill>
        </w:rPr>
        <w:t>（三）完善社会监督机制</w:t>
      </w:r>
      <w:bookmarkEnd w:id="322"/>
      <w:bookmarkEnd w:id="323"/>
      <w:bookmarkEnd w:id="324"/>
      <w:bookmarkEnd w:id="325"/>
    </w:p>
    <w:p w14:paraId="464F6B7F">
      <w:pPr>
        <w:pStyle w:val="10"/>
        <w:keepNext w:val="0"/>
        <w:keepLines w:val="0"/>
        <w:pageBreakBefore w:val="0"/>
        <w:widowControl w:val="0"/>
        <w:kinsoku/>
        <w:wordWrap/>
        <w:overflowPunct/>
        <w:topLinePunct w:val="0"/>
        <w:autoSpaceDE/>
        <w:autoSpaceDN/>
        <w:bidi w:val="0"/>
        <w:spacing w:line="540" w:lineRule="exact"/>
        <w:ind w:firstLine="560" w:firstLineChars="200"/>
        <w:textAlignment w:val="auto"/>
        <w:rPr>
          <w:rFonts w:ascii="Times New Roman" w:hAnsi="Times New Roman" w:eastAsia="仿宋_GB2312" w:cs="Times New Roman"/>
          <w:bCs/>
          <w:color w:val="000000" w:themeColor="text1"/>
          <w:kern w:val="0"/>
          <w:sz w:val="28"/>
          <w:szCs w:val="28"/>
          <w14:textFill>
            <w14:solidFill>
              <w14:schemeClr w14:val="tx1"/>
            </w14:solidFill>
          </w14:textFill>
        </w:rPr>
      </w:pPr>
      <w:r>
        <w:rPr>
          <w:rFonts w:ascii="Times New Roman" w:hAnsi="Times New Roman" w:eastAsia="仿宋_GB2312" w:cs="Times New Roman"/>
          <w:bCs/>
          <w:color w:val="000000" w:themeColor="text1"/>
          <w:kern w:val="0"/>
          <w:sz w:val="28"/>
          <w:szCs w:val="28"/>
          <w14:textFill>
            <w14:solidFill>
              <w14:schemeClr w14:val="tx1"/>
            </w14:solidFill>
          </w14:textFill>
        </w:rPr>
        <w:t>各实施责任主体要及时发布《</w:t>
      </w:r>
      <w:r>
        <w:rPr>
          <w:rFonts w:hint="eastAsia" w:ascii="Times New Roman" w:hAnsi="Times New Roman" w:eastAsia="仿宋_GB2312" w:cs="Times New Roman"/>
          <w:bCs/>
          <w:color w:val="000000" w:themeColor="text1"/>
          <w:kern w:val="0"/>
          <w:sz w:val="28"/>
          <w:szCs w:val="28"/>
          <w14:textFill>
            <w14:solidFill>
              <w14:schemeClr w14:val="tx1"/>
            </w14:solidFill>
          </w14:textFill>
        </w:rPr>
        <w:t>规划纲要</w:t>
      </w:r>
      <w:r>
        <w:rPr>
          <w:rFonts w:ascii="Times New Roman" w:hAnsi="Times New Roman" w:eastAsia="仿宋_GB2312" w:cs="Times New Roman"/>
          <w:bCs/>
          <w:color w:val="000000" w:themeColor="text1"/>
          <w:kern w:val="0"/>
          <w:sz w:val="28"/>
          <w:szCs w:val="28"/>
          <w14:textFill>
            <w14:solidFill>
              <w14:schemeClr w14:val="tx1"/>
            </w14:solidFill>
          </w14:textFill>
        </w:rPr>
        <w:t>》实施进展情况，保障社会公众知情权。畅通公众监督渠道，更好发挥各民主党派、工商联和无党派人士对《</w:t>
      </w:r>
      <w:r>
        <w:rPr>
          <w:rFonts w:hint="eastAsia" w:ascii="Times New Roman" w:hAnsi="Times New Roman" w:eastAsia="仿宋_GB2312" w:cs="Times New Roman"/>
          <w:bCs/>
          <w:color w:val="000000" w:themeColor="text1"/>
          <w:kern w:val="0"/>
          <w:sz w:val="28"/>
          <w:szCs w:val="28"/>
          <w14:textFill>
            <w14:solidFill>
              <w14:schemeClr w14:val="tx1"/>
            </w14:solidFill>
          </w14:textFill>
        </w:rPr>
        <w:t>规划纲要</w:t>
      </w:r>
      <w:r>
        <w:rPr>
          <w:rFonts w:ascii="Times New Roman" w:hAnsi="Times New Roman" w:eastAsia="仿宋_GB2312" w:cs="Times New Roman"/>
          <w:bCs/>
          <w:color w:val="000000" w:themeColor="text1"/>
          <w:kern w:val="0"/>
          <w:sz w:val="28"/>
          <w:szCs w:val="28"/>
          <w14:textFill>
            <w14:solidFill>
              <w14:schemeClr w14:val="tx1"/>
            </w14:solidFill>
          </w14:textFill>
        </w:rPr>
        <w:t>》实施的民主监督作用。充分发挥行业协会商会、贸易投资促进机构、智库等社会力量的专业化监督作用。建立利用互联网等新媒体监督《</w:t>
      </w:r>
      <w:r>
        <w:rPr>
          <w:rFonts w:hint="eastAsia" w:ascii="Times New Roman" w:hAnsi="Times New Roman" w:eastAsia="仿宋_GB2312" w:cs="Times New Roman"/>
          <w:bCs/>
          <w:color w:val="000000" w:themeColor="text1"/>
          <w:kern w:val="0"/>
          <w:sz w:val="28"/>
          <w:szCs w:val="28"/>
          <w14:textFill>
            <w14:solidFill>
              <w14:schemeClr w14:val="tx1"/>
            </w14:solidFill>
          </w14:textFill>
        </w:rPr>
        <w:t>规划纲要</w:t>
      </w:r>
      <w:r>
        <w:rPr>
          <w:rFonts w:ascii="Times New Roman" w:hAnsi="Times New Roman" w:eastAsia="仿宋_GB2312" w:cs="Times New Roman"/>
          <w:bCs/>
          <w:color w:val="000000" w:themeColor="text1"/>
          <w:kern w:val="0"/>
          <w:sz w:val="28"/>
          <w:szCs w:val="28"/>
          <w14:textFill>
            <w14:solidFill>
              <w14:schemeClr w14:val="tx1"/>
            </w14:solidFill>
          </w14:textFill>
        </w:rPr>
        <w:t>》实施的有效机制。</w:t>
      </w:r>
    </w:p>
    <w:p w14:paraId="3C79A97C">
      <w:pPr>
        <w:pStyle w:val="6"/>
        <w:keepNext w:val="0"/>
        <w:keepLines w:val="0"/>
        <w:pageBreakBefore w:val="0"/>
        <w:widowControl w:val="0"/>
        <w:kinsoku/>
        <w:wordWrap/>
        <w:overflowPunct/>
        <w:topLinePunct w:val="0"/>
        <w:autoSpaceDE/>
        <w:autoSpaceDN/>
        <w:bidi w:val="0"/>
        <w:spacing w:before="0" w:after="0" w:line="540" w:lineRule="exact"/>
        <w:ind w:firstLine="560" w:firstLineChars="200"/>
        <w:textAlignment w:val="auto"/>
        <w:rPr>
          <w:rFonts w:ascii="楷体_GB2312" w:hAnsi="楷体_GB2312" w:eastAsia="楷体_GB2312" w:cs="楷体_GB2312"/>
          <w:b w:val="0"/>
          <w:bCs w:val="0"/>
          <w:color w:val="000000" w:themeColor="text1"/>
          <w:sz w:val="28"/>
          <w:szCs w:val="28"/>
          <w14:textFill>
            <w14:solidFill>
              <w14:schemeClr w14:val="tx1"/>
            </w14:solidFill>
          </w14:textFill>
        </w:rPr>
      </w:pPr>
      <w:bookmarkStart w:id="326" w:name="_Toc9951"/>
      <w:bookmarkStart w:id="327" w:name="_Toc6963"/>
      <w:bookmarkStart w:id="328" w:name="_Toc30259"/>
      <w:bookmarkStart w:id="329" w:name="_Toc22387"/>
      <w:r>
        <w:rPr>
          <w:rFonts w:hint="eastAsia" w:ascii="楷体_GB2312" w:hAnsi="楷体_GB2312" w:eastAsia="楷体_GB2312" w:cs="楷体_GB2312"/>
          <w:b w:val="0"/>
          <w:bCs w:val="0"/>
          <w:color w:val="000000" w:themeColor="text1"/>
          <w:sz w:val="28"/>
          <w:szCs w:val="28"/>
          <w14:textFill>
            <w14:solidFill>
              <w14:schemeClr w14:val="tx1"/>
            </w14:solidFill>
          </w14:textFill>
        </w:rPr>
        <w:t>（四）加强规划实施考核评价</w:t>
      </w:r>
      <w:bookmarkEnd w:id="326"/>
      <w:bookmarkEnd w:id="327"/>
      <w:bookmarkEnd w:id="328"/>
      <w:bookmarkEnd w:id="329"/>
    </w:p>
    <w:p w14:paraId="394844EF">
      <w:pPr>
        <w:pStyle w:val="10"/>
        <w:keepNext w:val="0"/>
        <w:keepLines w:val="0"/>
        <w:pageBreakBefore w:val="0"/>
        <w:widowControl w:val="0"/>
        <w:kinsoku/>
        <w:wordWrap/>
        <w:overflowPunct/>
        <w:topLinePunct w:val="0"/>
        <w:autoSpaceDE/>
        <w:autoSpaceDN/>
        <w:bidi w:val="0"/>
        <w:spacing w:line="540" w:lineRule="exact"/>
        <w:ind w:firstLine="560" w:firstLineChars="200"/>
        <w:textAlignment w:val="auto"/>
        <w:rPr>
          <w:rFonts w:ascii="Times New Roman" w:hAnsi="Times New Roman" w:eastAsia="仿宋_GB2312" w:cs="Times New Roman"/>
          <w:bCs/>
          <w:color w:val="000000" w:themeColor="text1"/>
          <w:kern w:val="0"/>
          <w:sz w:val="28"/>
          <w:szCs w:val="28"/>
          <w14:textFill>
            <w14:solidFill>
              <w14:schemeClr w14:val="tx1"/>
            </w14:solidFill>
          </w14:textFill>
        </w:rPr>
      </w:pPr>
      <w:r>
        <w:rPr>
          <w:rFonts w:ascii="Times New Roman" w:hAnsi="Times New Roman" w:eastAsia="仿宋_GB2312" w:cs="Times New Roman"/>
          <w:bCs/>
          <w:color w:val="000000" w:themeColor="text1"/>
          <w:kern w:val="0"/>
          <w:sz w:val="28"/>
          <w:szCs w:val="28"/>
          <w14:textFill>
            <w14:solidFill>
              <w14:schemeClr w14:val="tx1"/>
            </w14:solidFill>
          </w14:textFill>
        </w:rPr>
        <w:t>强化年度评估、中期评估、</w:t>
      </w:r>
      <w:r>
        <w:rPr>
          <w:rFonts w:hint="eastAsia" w:ascii="Times New Roman" w:hAnsi="Times New Roman" w:eastAsia="仿宋_GB2312" w:cs="Times New Roman"/>
          <w:bCs/>
          <w:color w:val="000000" w:themeColor="text1"/>
          <w:kern w:val="0"/>
          <w:sz w:val="28"/>
          <w:szCs w:val="28"/>
          <w14:textFill>
            <w14:solidFill>
              <w14:schemeClr w14:val="tx1"/>
            </w14:solidFill>
          </w14:textFill>
        </w:rPr>
        <w:t>终期</w:t>
      </w:r>
      <w:r>
        <w:rPr>
          <w:rFonts w:ascii="Times New Roman" w:hAnsi="Times New Roman" w:eastAsia="仿宋_GB2312" w:cs="Times New Roman"/>
          <w:bCs/>
          <w:color w:val="000000" w:themeColor="text1"/>
          <w:kern w:val="0"/>
          <w:sz w:val="28"/>
          <w:szCs w:val="28"/>
          <w14:textFill>
            <w14:solidFill>
              <w14:schemeClr w14:val="tx1"/>
            </w14:solidFill>
          </w14:textFill>
        </w:rPr>
        <w:t>评估及专项评估结果的运用，将《</w:t>
      </w:r>
      <w:r>
        <w:rPr>
          <w:rFonts w:hint="eastAsia" w:ascii="Times New Roman" w:hAnsi="Times New Roman" w:eastAsia="仿宋_GB2312" w:cs="Times New Roman"/>
          <w:bCs/>
          <w:color w:val="000000" w:themeColor="text1"/>
          <w:kern w:val="0"/>
          <w:sz w:val="28"/>
          <w:szCs w:val="28"/>
          <w14:textFill>
            <w14:solidFill>
              <w14:schemeClr w14:val="tx1"/>
            </w14:solidFill>
          </w14:textFill>
        </w:rPr>
        <w:t>规划纲要</w:t>
      </w:r>
      <w:r>
        <w:rPr>
          <w:rFonts w:ascii="Times New Roman" w:hAnsi="Times New Roman" w:eastAsia="仿宋_GB2312" w:cs="Times New Roman"/>
          <w:bCs/>
          <w:color w:val="000000" w:themeColor="text1"/>
          <w:kern w:val="0"/>
          <w:sz w:val="28"/>
          <w:szCs w:val="28"/>
          <w14:textFill>
            <w14:solidFill>
              <w14:schemeClr w14:val="tx1"/>
            </w14:solidFill>
          </w14:textFill>
        </w:rPr>
        <w:t>》实施情况纳入各级领导干部考核评价体系，考核评价结果作为干部晋升和惩处的重要依据。</w:t>
      </w:r>
      <w:r>
        <w:rPr>
          <w:rFonts w:hint="eastAsia" w:ascii="Times New Roman" w:hAnsi="Times New Roman" w:eastAsia="仿宋_GB2312" w:cs="Times New Roman"/>
          <w:bCs/>
          <w:color w:val="000000" w:themeColor="text1"/>
          <w:kern w:val="0"/>
          <w:sz w:val="28"/>
          <w:szCs w:val="28"/>
          <w:lang w:val="en-US" w:eastAsia="zh-CN"/>
          <w14:textFill>
            <w14:solidFill>
              <w14:schemeClr w14:val="tx1"/>
            </w14:solidFill>
          </w14:textFill>
        </w:rPr>
        <w:t>立足部门职能</w:t>
      </w:r>
      <w:r>
        <w:rPr>
          <w:rFonts w:ascii="Times New Roman" w:hAnsi="Times New Roman" w:eastAsia="仿宋_GB2312" w:cs="Times New Roman"/>
          <w:bCs/>
          <w:color w:val="000000" w:themeColor="text1"/>
          <w:kern w:val="0"/>
          <w:sz w:val="28"/>
          <w:szCs w:val="28"/>
          <w14:textFill>
            <w14:solidFill>
              <w14:schemeClr w14:val="tx1"/>
            </w14:solidFill>
          </w14:textFill>
        </w:rPr>
        <w:t>实际，研究提出差别化、可操作的考核内容及</w:t>
      </w:r>
      <w:r>
        <w:rPr>
          <w:rFonts w:hint="eastAsia" w:ascii="Times New Roman" w:hAnsi="Times New Roman" w:eastAsia="仿宋_GB2312" w:cs="Times New Roman"/>
          <w:bCs/>
          <w:color w:val="000000" w:themeColor="text1"/>
          <w:kern w:val="0"/>
          <w:sz w:val="28"/>
          <w:szCs w:val="28"/>
          <w:lang w:val="en-US" w:eastAsia="zh-CN"/>
          <w14:textFill>
            <w14:solidFill>
              <w14:schemeClr w14:val="tx1"/>
            </w14:solidFill>
          </w14:textFill>
        </w:rPr>
        <w:t>办法</w:t>
      </w:r>
      <w:r>
        <w:rPr>
          <w:rFonts w:ascii="Times New Roman" w:hAnsi="Times New Roman" w:eastAsia="仿宋_GB2312" w:cs="Times New Roman"/>
          <w:bCs/>
          <w:color w:val="000000" w:themeColor="text1"/>
          <w:kern w:val="0"/>
          <w:sz w:val="28"/>
          <w:szCs w:val="28"/>
          <w14:textFill>
            <w14:solidFill>
              <w14:schemeClr w14:val="tx1"/>
            </w14:solidFill>
          </w14:textFill>
        </w:rPr>
        <w:t>。探索</w:t>
      </w:r>
      <w:r>
        <w:rPr>
          <w:rFonts w:hint="eastAsia" w:ascii="Times New Roman" w:hAnsi="Times New Roman" w:eastAsia="仿宋_GB2312" w:cs="Times New Roman"/>
          <w:bCs/>
          <w:color w:val="000000" w:themeColor="text1"/>
          <w:kern w:val="0"/>
          <w:sz w:val="28"/>
          <w:szCs w:val="28"/>
          <w:lang w:val="en-US" w:eastAsia="zh-CN"/>
          <w14:textFill>
            <w14:solidFill>
              <w14:schemeClr w14:val="tx1"/>
            </w14:solidFill>
          </w14:textFill>
        </w:rPr>
        <w:t>构建</w:t>
      </w:r>
      <w:r>
        <w:rPr>
          <w:rFonts w:ascii="Times New Roman" w:hAnsi="Times New Roman" w:eastAsia="仿宋_GB2312" w:cs="Times New Roman"/>
          <w:bCs/>
          <w:color w:val="000000" w:themeColor="text1"/>
          <w:kern w:val="0"/>
          <w:sz w:val="28"/>
          <w:szCs w:val="28"/>
          <w14:textFill>
            <w14:solidFill>
              <w14:schemeClr w14:val="tx1"/>
            </w14:solidFill>
          </w14:textFill>
        </w:rPr>
        <w:t>将规划实施考核结果与被考核责任主体绩效挂钩</w:t>
      </w:r>
      <w:r>
        <w:rPr>
          <w:rFonts w:hint="eastAsia" w:ascii="Times New Roman" w:hAnsi="Times New Roman" w:eastAsia="仿宋_GB2312" w:cs="Times New Roman"/>
          <w:bCs/>
          <w:color w:val="000000" w:themeColor="text1"/>
          <w:kern w:val="0"/>
          <w:sz w:val="28"/>
          <w:szCs w:val="28"/>
          <w:lang w:val="en-US" w:eastAsia="zh-CN"/>
          <w14:textFill>
            <w14:solidFill>
              <w14:schemeClr w14:val="tx1"/>
            </w14:solidFill>
          </w14:textFill>
        </w:rPr>
        <w:t>的激励机制</w:t>
      </w:r>
      <w:r>
        <w:rPr>
          <w:rFonts w:ascii="Times New Roman" w:hAnsi="Times New Roman" w:eastAsia="仿宋_GB2312" w:cs="Times New Roman"/>
          <w:bCs/>
          <w:color w:val="000000" w:themeColor="text1"/>
          <w:kern w:val="0"/>
          <w:sz w:val="28"/>
          <w:szCs w:val="28"/>
          <w14:textFill>
            <w14:solidFill>
              <w14:schemeClr w14:val="tx1"/>
            </w14:solidFill>
          </w14:textFill>
        </w:rPr>
        <w:t>。</w:t>
      </w:r>
    </w:p>
    <w:p w14:paraId="6EFE79CE">
      <w:pPr>
        <w:pStyle w:val="10"/>
        <w:keepNext w:val="0"/>
        <w:keepLines w:val="0"/>
        <w:pageBreakBefore w:val="0"/>
        <w:widowControl w:val="0"/>
        <w:kinsoku/>
        <w:wordWrap/>
        <w:overflowPunct/>
        <w:topLinePunct w:val="0"/>
        <w:autoSpaceDE/>
        <w:autoSpaceDN/>
        <w:bidi w:val="0"/>
        <w:spacing w:line="540" w:lineRule="exact"/>
        <w:ind w:firstLine="560" w:firstLineChars="200"/>
        <w:textAlignment w:val="auto"/>
        <w:rPr>
          <w:rFonts w:hint="eastAsia" w:ascii="Times New Roman" w:hAnsi="Times New Roman" w:eastAsia="仿宋_GB2312" w:cs="Times New Roman"/>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宏伟蓝图已绘就，乘风破浪正当时。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全县上下</w:t>
      </w:r>
      <w:r>
        <w:rPr>
          <w:rFonts w:ascii="Times New Roman" w:hAnsi="Times New Roman" w:eastAsia="仿宋_GB2312" w:cs="Times New Roman"/>
          <w:bCs/>
          <w:color w:val="000000" w:themeColor="text1"/>
          <w:kern w:val="0"/>
          <w:sz w:val="28"/>
          <w:szCs w:val="28"/>
          <w14:textFill>
            <w14:solidFill>
              <w14:schemeClr w14:val="tx1"/>
            </w14:solidFill>
          </w14:textFill>
        </w:rPr>
        <w:t>要充分认识推进《</w:t>
      </w:r>
      <w:r>
        <w:rPr>
          <w:rFonts w:hint="eastAsia" w:ascii="Times New Roman" w:hAnsi="Times New Roman" w:eastAsia="仿宋_GB2312" w:cs="Times New Roman"/>
          <w:bCs/>
          <w:color w:val="000000" w:themeColor="text1"/>
          <w:kern w:val="0"/>
          <w:sz w:val="28"/>
          <w:szCs w:val="28"/>
          <w14:textFill>
            <w14:solidFill>
              <w14:schemeClr w14:val="tx1"/>
            </w14:solidFill>
          </w14:textFill>
        </w:rPr>
        <w:t>规划纲要</w:t>
      </w:r>
      <w:r>
        <w:rPr>
          <w:rFonts w:ascii="Times New Roman" w:hAnsi="Times New Roman" w:eastAsia="仿宋_GB2312" w:cs="Times New Roman"/>
          <w:bCs/>
          <w:color w:val="000000" w:themeColor="text1"/>
          <w:kern w:val="0"/>
          <w:sz w:val="28"/>
          <w:szCs w:val="28"/>
          <w14:textFill>
            <w14:solidFill>
              <w14:schemeClr w14:val="tx1"/>
            </w14:solidFill>
          </w14:textFill>
        </w:rPr>
        <w:t>》全面顺利实施的特殊重要意义，明确实施责任、创新实施机制、狠抓规划落实，广泛调动各方面积极性，不断开创发展新局面，确保</w:t>
      </w:r>
      <w:r>
        <w:rPr>
          <w:rFonts w:hint="eastAsia" w:ascii="Times New Roman" w:hAnsi="Times New Roman" w:eastAsia="仿宋_GB2312" w:cs="Times New Roman"/>
          <w:bCs/>
          <w:color w:val="000000" w:themeColor="text1"/>
          <w:kern w:val="0"/>
          <w:sz w:val="28"/>
          <w:szCs w:val="28"/>
          <w14:textFill>
            <w14:solidFill>
              <w14:schemeClr w14:val="tx1"/>
            </w14:solidFill>
          </w14:textFill>
        </w:rPr>
        <w:t>“</w:t>
      </w:r>
      <w:r>
        <w:rPr>
          <w:rFonts w:ascii="Times New Roman" w:hAnsi="Times New Roman" w:eastAsia="仿宋_GB2312" w:cs="Times New Roman"/>
          <w:bCs/>
          <w:color w:val="000000" w:themeColor="text1"/>
          <w:kern w:val="0"/>
          <w:sz w:val="28"/>
          <w:szCs w:val="28"/>
          <w14:textFill>
            <w14:solidFill>
              <w14:schemeClr w14:val="tx1"/>
            </w14:solidFill>
          </w14:textFill>
        </w:rPr>
        <w:t>十</w:t>
      </w:r>
      <w:r>
        <w:rPr>
          <w:rFonts w:hint="eastAsia" w:ascii="Times New Roman" w:hAnsi="Times New Roman" w:eastAsia="仿宋_GB2312" w:cs="Times New Roman"/>
          <w:bCs/>
          <w:color w:val="000000" w:themeColor="text1"/>
          <w:kern w:val="0"/>
          <w:sz w:val="28"/>
          <w:szCs w:val="28"/>
          <w14:textFill>
            <w14:solidFill>
              <w14:schemeClr w14:val="tx1"/>
            </w14:solidFill>
          </w14:textFill>
        </w:rPr>
        <w:t>四</w:t>
      </w:r>
      <w:r>
        <w:rPr>
          <w:rFonts w:ascii="Times New Roman" w:hAnsi="Times New Roman" w:eastAsia="仿宋_GB2312" w:cs="Times New Roman"/>
          <w:bCs/>
          <w:color w:val="000000" w:themeColor="text1"/>
          <w:kern w:val="0"/>
          <w:sz w:val="28"/>
          <w:szCs w:val="28"/>
          <w14:textFill>
            <w14:solidFill>
              <w14:schemeClr w14:val="tx1"/>
            </w14:solidFill>
          </w14:textFill>
        </w:rPr>
        <w:t>五</w:t>
      </w:r>
      <w:r>
        <w:rPr>
          <w:rFonts w:hint="eastAsia" w:ascii="Times New Roman" w:hAnsi="Times New Roman" w:eastAsia="仿宋_GB2312" w:cs="Times New Roman"/>
          <w:bCs/>
          <w:color w:val="000000" w:themeColor="text1"/>
          <w:kern w:val="0"/>
          <w:sz w:val="28"/>
          <w:szCs w:val="28"/>
          <w14:textFill>
            <w14:solidFill>
              <w14:schemeClr w14:val="tx1"/>
            </w14:solidFill>
          </w14:textFill>
        </w:rPr>
        <w:t>”</w:t>
      </w:r>
      <w:r>
        <w:rPr>
          <w:rFonts w:ascii="Times New Roman" w:hAnsi="Times New Roman" w:eastAsia="仿宋_GB2312" w:cs="Times New Roman"/>
          <w:bCs/>
          <w:color w:val="000000" w:themeColor="text1"/>
          <w:kern w:val="0"/>
          <w:sz w:val="28"/>
          <w:szCs w:val="28"/>
          <w14:textFill>
            <w14:solidFill>
              <w14:schemeClr w14:val="tx1"/>
            </w14:solidFill>
          </w14:textFill>
        </w:rPr>
        <w:t>时期各项目标任务有效完成，</w:t>
      </w:r>
      <w:r>
        <w:rPr>
          <w:rFonts w:hint="eastAsia" w:ascii="仿宋_GB2312" w:hAnsi="仿宋_GB2312" w:eastAsia="仿宋_GB2312" w:cs="仿宋_GB2312"/>
          <w:color w:val="000000" w:themeColor="text1"/>
          <w:sz w:val="28"/>
          <w:szCs w:val="28"/>
          <w14:textFill>
            <w14:solidFill>
              <w14:schemeClr w14:val="tx1"/>
            </w14:solidFill>
          </w14:textFill>
        </w:rPr>
        <w:t>争取早日实现邢台领头、河北一流、全国上游目标，</w:t>
      </w:r>
      <w:r>
        <w:rPr>
          <w:rFonts w:ascii="Times New Roman" w:hAnsi="Times New Roman" w:eastAsia="仿宋_GB2312" w:cs="Times New Roman"/>
          <w:bCs/>
          <w:color w:val="000000" w:themeColor="text1"/>
          <w:kern w:val="0"/>
          <w:sz w:val="28"/>
          <w:szCs w:val="28"/>
          <w14:textFill>
            <w14:solidFill>
              <w14:schemeClr w14:val="tx1"/>
            </w14:solidFill>
          </w14:textFill>
        </w:rPr>
        <w:t>坚决夺取</w:t>
      </w:r>
      <w:r>
        <w:rPr>
          <w:rFonts w:hint="eastAsia" w:ascii="Times New Roman" w:hAnsi="Times New Roman" w:eastAsia="仿宋_GB2312" w:cs="Times New Roman"/>
          <w:bCs/>
          <w:color w:val="000000" w:themeColor="text1"/>
          <w:kern w:val="0"/>
          <w:sz w:val="28"/>
          <w:szCs w:val="28"/>
          <w14:textFill>
            <w14:solidFill>
              <w14:schemeClr w14:val="tx1"/>
            </w14:solidFill>
          </w14:textFill>
        </w:rPr>
        <w:t>清河县高质量赶超发展</w:t>
      </w:r>
      <w:r>
        <w:rPr>
          <w:rFonts w:ascii="Times New Roman" w:hAnsi="Times New Roman" w:eastAsia="仿宋_GB2312" w:cs="Times New Roman"/>
          <w:bCs/>
          <w:color w:val="000000" w:themeColor="text1"/>
          <w:kern w:val="0"/>
          <w:sz w:val="28"/>
          <w:szCs w:val="28"/>
          <w14:textFill>
            <w14:solidFill>
              <w14:schemeClr w14:val="tx1"/>
            </w14:solidFill>
          </w14:textFill>
        </w:rPr>
        <w:t>的伟大胜利</w:t>
      </w:r>
      <w:r>
        <w:rPr>
          <w:rFonts w:hint="eastAsia" w:ascii="Times New Roman" w:hAnsi="Times New Roman" w:eastAsia="仿宋_GB2312" w:cs="Times New Roman"/>
          <w:bCs/>
          <w:color w:val="000000" w:themeColor="text1"/>
          <w:kern w:val="0"/>
          <w:sz w:val="28"/>
          <w:szCs w:val="28"/>
          <w14:textFill>
            <w14:solidFill>
              <w14:schemeClr w14:val="tx1"/>
            </w14:solidFill>
          </w14:textFill>
        </w:rPr>
        <w:t>！</w:t>
      </w:r>
      <w:r>
        <w:rPr>
          <w:rFonts w:hint="eastAsia" w:ascii="Times New Roman" w:hAnsi="Times New Roman" w:eastAsia="仿宋_GB2312" w:cs="Times New Roman"/>
          <w:color w:val="000000" w:themeColor="text1"/>
          <w:sz w:val="28"/>
          <w:szCs w:val="28"/>
          <w14:textFill>
            <w14:solidFill>
              <w14:schemeClr w14:val="tx1"/>
            </w14:solidFill>
          </w14:textFill>
        </w:rPr>
        <w:t xml:space="preserve"> </w:t>
      </w:r>
    </w:p>
    <w:p w14:paraId="00285ACD">
      <w:pPr>
        <w:pStyle w:val="11"/>
        <w:rPr>
          <w:rFonts w:hint="eastAsia" w:ascii="Times New Roman" w:hAnsi="Times New Roman" w:eastAsia="仿宋_GB2312" w:cs="Times New Roman"/>
          <w:color w:val="000000" w:themeColor="text1"/>
          <w:sz w:val="28"/>
          <w:szCs w:val="28"/>
          <w14:textFill>
            <w14:solidFill>
              <w14:schemeClr w14:val="tx1"/>
            </w14:solidFill>
          </w14:textFill>
        </w:rPr>
      </w:pPr>
    </w:p>
    <w:p w14:paraId="7542E0AB">
      <w:pPr>
        <w:pStyle w:val="12"/>
        <w:rPr>
          <w:rFonts w:hint="eastAsia" w:ascii="Times New Roman" w:hAnsi="Times New Roman" w:eastAsia="仿宋_GB2312" w:cs="Times New Roman"/>
          <w:color w:val="000000" w:themeColor="text1"/>
          <w:sz w:val="28"/>
          <w:szCs w:val="28"/>
          <w14:textFill>
            <w14:solidFill>
              <w14:schemeClr w14:val="tx1"/>
            </w14:solidFill>
          </w14:textFill>
        </w:rPr>
      </w:pPr>
    </w:p>
    <w:p w14:paraId="401C46CA">
      <w:pPr>
        <w:rPr>
          <w:rFonts w:hint="eastAsia"/>
        </w:rPr>
      </w:pPr>
    </w:p>
    <w:p w14:paraId="26B46AFE">
      <w:pPr>
        <w:adjustRightInd w:val="0"/>
        <w:spacing w:line="570" w:lineRule="exact"/>
        <w:ind w:firstLine="640" w:firstLineChars="200"/>
        <w:rPr>
          <w:rFonts w:hint="eastAsia" w:ascii="仿宋" w:hAnsi="仿宋" w:eastAsia="仿宋" w:cs="仿宋"/>
          <w:sz w:val="32"/>
          <w:szCs w:val="32"/>
        </w:rPr>
      </w:pPr>
    </w:p>
    <w:p w14:paraId="2045B90A">
      <w:pPr>
        <w:adjustRightInd w:val="0"/>
        <w:spacing w:line="570" w:lineRule="exact"/>
        <w:ind w:firstLine="640" w:firstLineChars="200"/>
        <w:rPr>
          <w:rFonts w:hint="eastAsia" w:ascii="仿宋" w:hAnsi="仿宋" w:eastAsia="仿宋" w:cs="仿宋"/>
          <w:sz w:val="32"/>
          <w:szCs w:val="32"/>
        </w:rPr>
      </w:pPr>
    </w:p>
    <w:p w14:paraId="13C5116E">
      <w:pPr>
        <w:adjustRightInd w:val="0"/>
        <w:spacing w:line="570" w:lineRule="exact"/>
        <w:ind w:firstLine="640" w:firstLineChars="200"/>
        <w:rPr>
          <w:rFonts w:hint="eastAsia" w:ascii="仿宋" w:hAnsi="仿宋" w:eastAsia="仿宋" w:cs="仿宋"/>
          <w:sz w:val="32"/>
          <w:szCs w:val="32"/>
        </w:rPr>
      </w:pPr>
    </w:p>
    <w:p w14:paraId="4C468837">
      <w:pPr>
        <w:adjustRightInd w:val="0"/>
        <w:spacing w:line="570" w:lineRule="exact"/>
        <w:ind w:firstLine="640" w:firstLineChars="200"/>
        <w:rPr>
          <w:rFonts w:hint="eastAsia" w:ascii="仿宋" w:hAnsi="仿宋" w:eastAsia="仿宋" w:cs="仿宋"/>
          <w:sz w:val="32"/>
          <w:szCs w:val="32"/>
        </w:rPr>
      </w:pPr>
    </w:p>
    <w:p w14:paraId="347058BC">
      <w:pPr>
        <w:pStyle w:val="2"/>
        <w:rPr>
          <w:rFonts w:hint="eastAsia"/>
        </w:rPr>
      </w:pPr>
    </w:p>
    <w:p w14:paraId="4C1092A5">
      <w:pPr>
        <w:adjustRightInd w:val="0"/>
        <w:spacing w:line="570" w:lineRule="exact"/>
        <w:ind w:firstLine="640" w:firstLineChars="200"/>
        <w:rPr>
          <w:rFonts w:hint="eastAsia" w:ascii="仿宋" w:hAnsi="仿宋" w:eastAsia="仿宋" w:cs="仿宋"/>
          <w:sz w:val="32"/>
          <w:szCs w:val="32"/>
        </w:rPr>
      </w:pPr>
    </w:p>
    <w:p w14:paraId="7EA0764D">
      <w:pPr>
        <w:keepNext w:val="0"/>
        <w:keepLines w:val="0"/>
        <w:pageBreakBefore w:val="0"/>
        <w:widowControl w:val="0"/>
        <w:kinsoku/>
        <w:wordWrap/>
        <w:overflowPunct/>
        <w:topLinePunct w:val="0"/>
        <w:autoSpaceDE/>
        <w:autoSpaceDN/>
        <w:bidi w:val="0"/>
        <w:adjustRightInd w:val="0"/>
        <w:snapToGrid/>
        <w:spacing w:line="400" w:lineRule="exact"/>
        <w:ind w:firstLine="640" w:firstLineChars="200"/>
        <w:textAlignment w:val="auto"/>
        <w:rPr>
          <w:rFonts w:hint="eastAsia" w:ascii="仿宋" w:hAnsi="仿宋" w:eastAsia="仿宋" w:cs="仿宋"/>
          <w:sz w:val="32"/>
          <w:szCs w:val="32"/>
        </w:rPr>
      </w:pPr>
    </w:p>
    <w:sectPr>
      <w:footerReference r:id="rId9" w:type="default"/>
      <w:pgSz w:w="11906" w:h="16838"/>
      <w:pgMar w:top="1984" w:right="1531" w:bottom="1701" w:left="1531" w:header="851" w:footer="1247" w:gutter="0"/>
      <w:pgNumType w:fmt="numberInDash"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panose1 w:val="02000000000000000000"/>
    <w:charset w:val="86"/>
    <w:family w:val="roman"/>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69648">
    <w:pPr>
      <w:pStyle w:val="17"/>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30023">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921F9">
    <w:pPr>
      <w:pStyle w:val="17"/>
      <w:tabs>
        <w:tab w:val="clear" w:pos="4153"/>
      </w:tabs>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98D59">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E00C97">
                          <w:pPr>
                            <w:pStyle w:val="17"/>
                            <w:rPr>
                              <w:rFonts w:hint="eastAsia" w:eastAsia="等线"/>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FE00C97">
                    <w:pPr>
                      <w:pStyle w:val="17"/>
                      <w:rPr>
                        <w:rFonts w:hint="eastAsia" w:eastAsia="等线"/>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E9069">
    <w:pPr>
      <w:pStyle w:val="17"/>
      <w:tabs>
        <w:tab w:val="clear" w:pos="4153"/>
      </w:tabs>
      <w:jc w:val="cente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75D550">
                          <w:pPr>
                            <w:pStyle w:val="17"/>
                            <w:rPr>
                              <w:rFonts w:hint="eastAsia" w:eastAsia="等线"/>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975D550">
                    <w:pPr>
                      <w:pStyle w:val="17"/>
                      <w:rPr>
                        <w:rFonts w:hint="eastAsia" w:eastAsia="等线"/>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CA642">
    <w:pPr>
      <w:pStyle w:val="17"/>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0340" cy="17907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0340" cy="1790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1961A0">
                          <w:pPr>
                            <w:pStyle w:val="17"/>
                            <w:rPr>
                              <w:rFonts w:asciiTheme="minorEastAsia" w:hAnsiTheme="minorEastAsia" w:eastAsiaTheme="minorEastAsia" w:cstheme="minorEastAsia"/>
                              <w:b/>
                              <w:bCs/>
                              <w:sz w:val="21"/>
                              <w:szCs w:val="28"/>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14.1pt;width:14.2pt;mso-position-horizontal:outside;mso-position-horizontal-relative:margin;z-index:251660288;mso-width-relative:page;mso-height-relative:page;" filled="f" stroked="f" coordsize="21600,21600" o:gfxdata="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EJvif7SAAAAAwEAAA8AAAAAAAAAAQAgAAAAIgAAAGRycy9kb3ducmV2LnhtbFBLAQIU&#10;ABQAAAAIAIdO4kB2axUaMgIAAFcEAAAOAAAAAAAAAAEAIAAAACEBAABkcnMvZTJvRG9jLnhtbFBL&#10;BQYAAAAABgAGAFkBAADFBQAAAAA=&#10;">
              <v:fill on="f" focussize="0,0"/>
              <v:stroke on="f" weight="0.5pt"/>
              <v:imagedata o:title=""/>
              <o:lock v:ext="edit" aspectratio="f"/>
              <v:textbox inset="0mm,0mm,0mm,0mm">
                <w:txbxContent>
                  <w:p w14:paraId="671961A0">
                    <w:pPr>
                      <w:pStyle w:val="17"/>
                      <w:rPr>
                        <w:rFonts w:asciiTheme="minorEastAsia" w:hAnsiTheme="minorEastAsia" w:eastAsiaTheme="minorEastAsia" w:cstheme="minorEastAsia"/>
                        <w:b/>
                        <w:bCs/>
                        <w:sz w:val="21"/>
                        <w:szCs w:val="28"/>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956C0">
    <w:pPr>
      <w:pStyle w:val="17"/>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296E5A">
                          <w:pPr>
                            <w:pStyle w:val="17"/>
                            <w:rPr>
                              <w:rFonts w:hint="eastAsia" w:eastAsia="等线"/>
                              <w:lang w:eastAsia="zh-CN"/>
                            </w:rPr>
                          </w:pPr>
                          <w:r>
                            <w:rPr>
                              <w:rFonts w:hint="eastAsia" w:ascii="宋体" w:hAnsi="宋体" w:eastAsia="宋体" w:cs="宋体"/>
                              <w:b/>
                              <w:bCs/>
                              <w:sz w:val="21"/>
                              <w:szCs w:val="28"/>
                              <w:lang w:eastAsia="zh-CN"/>
                            </w:rPr>
                            <w:fldChar w:fldCharType="begin"/>
                          </w:r>
                          <w:r>
                            <w:rPr>
                              <w:rFonts w:hint="eastAsia" w:ascii="宋体" w:hAnsi="宋体" w:eastAsia="宋体" w:cs="宋体"/>
                              <w:b/>
                              <w:bCs/>
                              <w:sz w:val="21"/>
                              <w:szCs w:val="28"/>
                              <w:lang w:eastAsia="zh-CN"/>
                            </w:rPr>
                            <w:instrText xml:space="preserve"> PAGE  \* MERGEFORMAT </w:instrText>
                          </w:r>
                          <w:r>
                            <w:rPr>
                              <w:rFonts w:hint="eastAsia" w:ascii="宋体" w:hAnsi="宋体" w:eastAsia="宋体" w:cs="宋体"/>
                              <w:b/>
                              <w:bCs/>
                              <w:sz w:val="21"/>
                              <w:szCs w:val="28"/>
                              <w:lang w:eastAsia="zh-CN"/>
                            </w:rPr>
                            <w:fldChar w:fldCharType="separate"/>
                          </w:r>
                          <w:r>
                            <w:rPr>
                              <w:rFonts w:hint="eastAsia" w:ascii="宋体" w:hAnsi="宋体" w:eastAsia="宋体" w:cs="宋体"/>
                              <w:b/>
                              <w:bCs/>
                              <w:sz w:val="21"/>
                              <w:szCs w:val="28"/>
                              <w:lang w:eastAsia="zh-CN"/>
                            </w:rPr>
                            <w:t>- 1 -</w:t>
                          </w:r>
                          <w:r>
                            <w:rPr>
                              <w:rFonts w:hint="eastAsia" w:ascii="宋体" w:hAnsi="宋体" w:eastAsia="宋体" w:cs="宋体"/>
                              <w:b/>
                              <w:bCs/>
                              <w:sz w:val="21"/>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3296E5A">
                    <w:pPr>
                      <w:pStyle w:val="17"/>
                      <w:rPr>
                        <w:rFonts w:hint="eastAsia" w:eastAsia="等线"/>
                        <w:lang w:eastAsia="zh-CN"/>
                      </w:rPr>
                    </w:pPr>
                    <w:r>
                      <w:rPr>
                        <w:rFonts w:hint="eastAsia" w:ascii="宋体" w:hAnsi="宋体" w:eastAsia="宋体" w:cs="宋体"/>
                        <w:b/>
                        <w:bCs/>
                        <w:sz w:val="21"/>
                        <w:szCs w:val="28"/>
                        <w:lang w:eastAsia="zh-CN"/>
                      </w:rPr>
                      <w:fldChar w:fldCharType="begin"/>
                    </w:r>
                    <w:r>
                      <w:rPr>
                        <w:rFonts w:hint="eastAsia" w:ascii="宋体" w:hAnsi="宋体" w:eastAsia="宋体" w:cs="宋体"/>
                        <w:b/>
                        <w:bCs/>
                        <w:sz w:val="21"/>
                        <w:szCs w:val="28"/>
                        <w:lang w:eastAsia="zh-CN"/>
                      </w:rPr>
                      <w:instrText xml:space="preserve"> PAGE  \* MERGEFORMAT </w:instrText>
                    </w:r>
                    <w:r>
                      <w:rPr>
                        <w:rFonts w:hint="eastAsia" w:ascii="宋体" w:hAnsi="宋体" w:eastAsia="宋体" w:cs="宋体"/>
                        <w:b/>
                        <w:bCs/>
                        <w:sz w:val="21"/>
                        <w:szCs w:val="28"/>
                        <w:lang w:eastAsia="zh-CN"/>
                      </w:rPr>
                      <w:fldChar w:fldCharType="separate"/>
                    </w:r>
                    <w:r>
                      <w:rPr>
                        <w:rFonts w:hint="eastAsia" w:ascii="宋体" w:hAnsi="宋体" w:eastAsia="宋体" w:cs="宋体"/>
                        <w:b/>
                        <w:bCs/>
                        <w:sz w:val="21"/>
                        <w:szCs w:val="28"/>
                        <w:lang w:eastAsia="zh-CN"/>
                      </w:rPr>
                      <w:t>- 1 -</w:t>
                    </w:r>
                    <w:r>
                      <w:rPr>
                        <w:rFonts w:hint="eastAsia" w:ascii="宋体" w:hAnsi="宋体" w:eastAsia="宋体" w:cs="宋体"/>
                        <w:b/>
                        <w:bCs/>
                        <w:sz w:val="21"/>
                        <w:szCs w:val="28"/>
                        <w:lang w:eastAsia="zh-CN"/>
                      </w:rP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0340" cy="17907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0340" cy="1790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939819">
                          <w:pPr>
                            <w:pStyle w:val="17"/>
                            <w:rPr>
                              <w:rFonts w:asciiTheme="minorEastAsia" w:hAnsiTheme="minorEastAsia" w:eastAsiaTheme="minorEastAsia" w:cstheme="minorEastAsia"/>
                              <w:b/>
                              <w:bCs/>
                              <w:sz w:val="21"/>
                              <w:szCs w:val="28"/>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14.1pt;width:14.2pt;mso-position-horizontal:outside;mso-position-horizontal-relative:margin;z-index:251661312;mso-width-relative:page;mso-height-relative:page;" filled="f" stroked="f" coordsize="21600,21600" o:gfxdata="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EJvif7SAAAAAwEAAA8AAAAAAAAAAQAgAAAAIgAAAGRycy9kb3ducmV2LnhtbFBLAQIU&#10;ABQAAAAIAIdO4kAK2CapMgIAAFUEAAAOAAAAAAAAAAEAIAAAACEBAABkcnMvZTJvRG9jLnhtbFBL&#10;BQYAAAAABgAGAFkBAADFBQAAAAA=&#10;">
              <v:fill on="f" focussize="0,0"/>
              <v:stroke on="f" weight="0.5pt"/>
              <v:imagedata o:title=""/>
              <o:lock v:ext="edit" aspectratio="f"/>
              <v:textbox inset="0mm,0mm,0mm,0mm">
                <w:txbxContent>
                  <w:p w14:paraId="18939819">
                    <w:pPr>
                      <w:pStyle w:val="17"/>
                      <w:rPr>
                        <w:rFonts w:asciiTheme="minorEastAsia" w:hAnsiTheme="minorEastAsia" w:eastAsiaTheme="minorEastAsia" w:cstheme="minorEastAsia"/>
                        <w:b/>
                        <w:bCs/>
                        <w:sz w:val="21"/>
                        <w:szCs w:val="28"/>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5D523F"/>
    <w:multiLevelType w:val="singleLevel"/>
    <w:tmpl w:val="DB5D523F"/>
    <w:lvl w:ilvl="0" w:tentative="0">
      <w:start w:val="6"/>
      <w:numFmt w:val="chineseCounting"/>
      <w:suff w:val="nothing"/>
      <w:lvlText w:val="%1、"/>
      <w:lvlJc w:val="left"/>
      <w:rPr>
        <w:rFonts w:hint="eastAsia"/>
      </w:rPr>
    </w:lvl>
  </w:abstractNum>
  <w:abstractNum w:abstractNumId="1">
    <w:nsid w:val="EF164756"/>
    <w:multiLevelType w:val="singleLevel"/>
    <w:tmpl w:val="EF164756"/>
    <w:lvl w:ilvl="0" w:tentative="0">
      <w:start w:val="9"/>
      <w:numFmt w:val="chineseCounting"/>
      <w:suff w:val="nothing"/>
      <w:lvlText w:val="%1、"/>
      <w:lvlJc w:val="left"/>
      <w:rPr>
        <w:rFonts w:hint="eastAsia"/>
      </w:rPr>
    </w:lvl>
  </w:abstractNum>
  <w:abstractNum w:abstractNumId="2">
    <w:nsid w:val="1210BB3E"/>
    <w:multiLevelType w:val="singleLevel"/>
    <w:tmpl w:val="1210BB3E"/>
    <w:lvl w:ilvl="0" w:tentative="0">
      <w:start w:val="1"/>
      <w:numFmt w:val="chineseCounting"/>
      <w:suff w:val="nothing"/>
      <w:lvlText w:val="（%1）"/>
      <w:lvlJc w:val="left"/>
      <w:pPr>
        <w:ind w:left="0" w:firstLine="420"/>
      </w:pPr>
      <w:rPr>
        <w:rFonts w:hint="eastAsia"/>
      </w:rPr>
    </w:lvl>
  </w:abstractNum>
  <w:abstractNum w:abstractNumId="3">
    <w:nsid w:val="15D57D22"/>
    <w:multiLevelType w:val="singleLevel"/>
    <w:tmpl w:val="15D57D22"/>
    <w:lvl w:ilvl="0" w:tentative="0">
      <w:start w:val="1"/>
      <w:numFmt w:val="chineseCounting"/>
      <w:suff w:val="nothing"/>
      <w:lvlText w:val="（%1）"/>
      <w:lvlJc w:val="left"/>
      <w:pPr>
        <w:ind w:left="0" w:firstLine="420"/>
      </w:pPr>
      <w:rPr>
        <w:rFonts w:hint="eastAsia"/>
      </w:rPr>
    </w:lvl>
  </w:abstractNum>
  <w:abstractNum w:abstractNumId="4">
    <w:nsid w:val="5123B2AF"/>
    <w:multiLevelType w:val="singleLevel"/>
    <w:tmpl w:val="5123B2AF"/>
    <w:lvl w:ilvl="0" w:tentative="0">
      <w:start w:val="1"/>
      <w:numFmt w:val="chineseCounting"/>
      <w:suff w:val="space"/>
      <w:lvlText w:val="第%1章"/>
      <w:lvlJc w:val="left"/>
      <w:rPr>
        <w:rFonts w:hint="eastAsia"/>
      </w:rPr>
    </w:lvl>
  </w:abstractNum>
  <w:abstractNum w:abstractNumId="5">
    <w:nsid w:val="6C2DDFC5"/>
    <w:multiLevelType w:val="singleLevel"/>
    <w:tmpl w:val="6C2DDFC5"/>
    <w:lvl w:ilvl="0" w:tentative="0">
      <w:start w:val="5"/>
      <w:numFmt w:val="chineseCounting"/>
      <w:suff w:val="space"/>
      <w:lvlText w:val="第%1章"/>
      <w:lvlJc w:val="left"/>
      <w:rPr>
        <w:rFonts w:hint="eastAsia"/>
      </w:rPr>
    </w:lvl>
  </w:abstractNum>
  <w:num w:numId="1">
    <w:abstractNumId w:val="4"/>
  </w:num>
  <w:num w:numId="2">
    <w:abstractNumId w:val="5"/>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xMjRjZGZlYmRmNDc5ZTg3ZWUyZjc3Y2ZlMzRmMWEifQ=="/>
  </w:docVars>
  <w:rsids>
    <w:rsidRoot w:val="59B97E6B"/>
    <w:rsid w:val="00001556"/>
    <w:rsid w:val="00001E4B"/>
    <w:rsid w:val="00004C35"/>
    <w:rsid w:val="00005CBA"/>
    <w:rsid w:val="000063F5"/>
    <w:rsid w:val="000066E1"/>
    <w:rsid w:val="000109E0"/>
    <w:rsid w:val="00014C20"/>
    <w:rsid w:val="00015961"/>
    <w:rsid w:val="0001712D"/>
    <w:rsid w:val="00017B1D"/>
    <w:rsid w:val="00022B08"/>
    <w:rsid w:val="000243B4"/>
    <w:rsid w:val="0002585A"/>
    <w:rsid w:val="0002704B"/>
    <w:rsid w:val="00032483"/>
    <w:rsid w:val="00032ED1"/>
    <w:rsid w:val="00033C8D"/>
    <w:rsid w:val="00036D34"/>
    <w:rsid w:val="00040A84"/>
    <w:rsid w:val="00040B0A"/>
    <w:rsid w:val="000420B4"/>
    <w:rsid w:val="00045D8A"/>
    <w:rsid w:val="00045E4E"/>
    <w:rsid w:val="00051637"/>
    <w:rsid w:val="00052694"/>
    <w:rsid w:val="00053F99"/>
    <w:rsid w:val="00054B9F"/>
    <w:rsid w:val="00062328"/>
    <w:rsid w:val="000644C3"/>
    <w:rsid w:val="00065578"/>
    <w:rsid w:val="00066A56"/>
    <w:rsid w:val="0006707A"/>
    <w:rsid w:val="000675C4"/>
    <w:rsid w:val="000708D3"/>
    <w:rsid w:val="00072678"/>
    <w:rsid w:val="00072709"/>
    <w:rsid w:val="00076198"/>
    <w:rsid w:val="000761AD"/>
    <w:rsid w:val="00080D9A"/>
    <w:rsid w:val="0008214F"/>
    <w:rsid w:val="000832DB"/>
    <w:rsid w:val="00085FD3"/>
    <w:rsid w:val="00087CAF"/>
    <w:rsid w:val="00091C3F"/>
    <w:rsid w:val="00091E1A"/>
    <w:rsid w:val="0009231B"/>
    <w:rsid w:val="000A1BAE"/>
    <w:rsid w:val="000A2A24"/>
    <w:rsid w:val="000A2AA2"/>
    <w:rsid w:val="000A2FA6"/>
    <w:rsid w:val="000A6035"/>
    <w:rsid w:val="000A6351"/>
    <w:rsid w:val="000A7834"/>
    <w:rsid w:val="000A7FD9"/>
    <w:rsid w:val="000B0240"/>
    <w:rsid w:val="000B0EFC"/>
    <w:rsid w:val="000B2A94"/>
    <w:rsid w:val="000B49EC"/>
    <w:rsid w:val="000B53D2"/>
    <w:rsid w:val="000B7B9E"/>
    <w:rsid w:val="000C001F"/>
    <w:rsid w:val="000C53AC"/>
    <w:rsid w:val="000C5B76"/>
    <w:rsid w:val="000D1D0B"/>
    <w:rsid w:val="000D5D5B"/>
    <w:rsid w:val="000D7EAA"/>
    <w:rsid w:val="000E0096"/>
    <w:rsid w:val="000E1060"/>
    <w:rsid w:val="000E2534"/>
    <w:rsid w:val="000E4F9D"/>
    <w:rsid w:val="000E51E8"/>
    <w:rsid w:val="000E5719"/>
    <w:rsid w:val="000F54A5"/>
    <w:rsid w:val="000F60A2"/>
    <w:rsid w:val="000F6707"/>
    <w:rsid w:val="00101ABC"/>
    <w:rsid w:val="001021D2"/>
    <w:rsid w:val="00105F4F"/>
    <w:rsid w:val="001068C9"/>
    <w:rsid w:val="001073BC"/>
    <w:rsid w:val="0010762B"/>
    <w:rsid w:val="00111A39"/>
    <w:rsid w:val="00112C5F"/>
    <w:rsid w:val="00115265"/>
    <w:rsid w:val="001164CA"/>
    <w:rsid w:val="001207A2"/>
    <w:rsid w:val="0012389A"/>
    <w:rsid w:val="00124526"/>
    <w:rsid w:val="001320E9"/>
    <w:rsid w:val="001331AF"/>
    <w:rsid w:val="001363BC"/>
    <w:rsid w:val="001366CD"/>
    <w:rsid w:val="00140254"/>
    <w:rsid w:val="00143184"/>
    <w:rsid w:val="0014490E"/>
    <w:rsid w:val="001508EB"/>
    <w:rsid w:val="001519DF"/>
    <w:rsid w:val="0015303A"/>
    <w:rsid w:val="00153D11"/>
    <w:rsid w:val="001613D9"/>
    <w:rsid w:val="00161FEA"/>
    <w:rsid w:val="00172A37"/>
    <w:rsid w:val="00172B9C"/>
    <w:rsid w:val="001740C5"/>
    <w:rsid w:val="00175097"/>
    <w:rsid w:val="001773BE"/>
    <w:rsid w:val="00180191"/>
    <w:rsid w:val="001832FD"/>
    <w:rsid w:val="0018576C"/>
    <w:rsid w:val="00186CE8"/>
    <w:rsid w:val="001907F5"/>
    <w:rsid w:val="0019599E"/>
    <w:rsid w:val="00196339"/>
    <w:rsid w:val="00196F91"/>
    <w:rsid w:val="00197CA6"/>
    <w:rsid w:val="001A31BC"/>
    <w:rsid w:val="001A40ED"/>
    <w:rsid w:val="001B459C"/>
    <w:rsid w:val="001B6D14"/>
    <w:rsid w:val="001B71B8"/>
    <w:rsid w:val="001B71FA"/>
    <w:rsid w:val="001B7C86"/>
    <w:rsid w:val="001C0360"/>
    <w:rsid w:val="001C17D9"/>
    <w:rsid w:val="001C3C19"/>
    <w:rsid w:val="001C3F04"/>
    <w:rsid w:val="001C4549"/>
    <w:rsid w:val="001D064D"/>
    <w:rsid w:val="001D1AF8"/>
    <w:rsid w:val="001D4A35"/>
    <w:rsid w:val="001D5618"/>
    <w:rsid w:val="001E1610"/>
    <w:rsid w:val="001E1B3D"/>
    <w:rsid w:val="001E1D61"/>
    <w:rsid w:val="001E3974"/>
    <w:rsid w:val="001E6370"/>
    <w:rsid w:val="001E6644"/>
    <w:rsid w:val="001E6917"/>
    <w:rsid w:val="001E6F55"/>
    <w:rsid w:val="001E6FD4"/>
    <w:rsid w:val="001F1B17"/>
    <w:rsid w:val="001F29FB"/>
    <w:rsid w:val="001F5D2A"/>
    <w:rsid w:val="001F61EB"/>
    <w:rsid w:val="002012D5"/>
    <w:rsid w:val="0020396E"/>
    <w:rsid w:val="00205260"/>
    <w:rsid w:val="002053A1"/>
    <w:rsid w:val="0020772E"/>
    <w:rsid w:val="00212F7B"/>
    <w:rsid w:val="0021407C"/>
    <w:rsid w:val="00216E57"/>
    <w:rsid w:val="002204DF"/>
    <w:rsid w:val="0022089A"/>
    <w:rsid w:val="00220E48"/>
    <w:rsid w:val="002241E4"/>
    <w:rsid w:val="002309C0"/>
    <w:rsid w:val="00231BBB"/>
    <w:rsid w:val="002322BB"/>
    <w:rsid w:val="002325DF"/>
    <w:rsid w:val="00233F15"/>
    <w:rsid w:val="00237A74"/>
    <w:rsid w:val="00240D5A"/>
    <w:rsid w:val="0024133B"/>
    <w:rsid w:val="0024458E"/>
    <w:rsid w:val="002466B3"/>
    <w:rsid w:val="00251530"/>
    <w:rsid w:val="00253B28"/>
    <w:rsid w:val="00264250"/>
    <w:rsid w:val="00264BE4"/>
    <w:rsid w:val="00265C72"/>
    <w:rsid w:val="00265D10"/>
    <w:rsid w:val="002675C6"/>
    <w:rsid w:val="00272128"/>
    <w:rsid w:val="00272139"/>
    <w:rsid w:val="0027220C"/>
    <w:rsid w:val="002725C0"/>
    <w:rsid w:val="00276405"/>
    <w:rsid w:val="00277614"/>
    <w:rsid w:val="00280209"/>
    <w:rsid w:val="00280593"/>
    <w:rsid w:val="002806AA"/>
    <w:rsid w:val="00280E5B"/>
    <w:rsid w:val="00281A77"/>
    <w:rsid w:val="002838C5"/>
    <w:rsid w:val="0028641B"/>
    <w:rsid w:val="002864E5"/>
    <w:rsid w:val="00291899"/>
    <w:rsid w:val="00292361"/>
    <w:rsid w:val="00293F72"/>
    <w:rsid w:val="002954E2"/>
    <w:rsid w:val="00296B5C"/>
    <w:rsid w:val="002A3277"/>
    <w:rsid w:val="002A3D82"/>
    <w:rsid w:val="002A73E8"/>
    <w:rsid w:val="002B0D3F"/>
    <w:rsid w:val="002B3A53"/>
    <w:rsid w:val="002B690D"/>
    <w:rsid w:val="002B69D1"/>
    <w:rsid w:val="002C046C"/>
    <w:rsid w:val="002C2BBA"/>
    <w:rsid w:val="002C3B85"/>
    <w:rsid w:val="002C3E1B"/>
    <w:rsid w:val="002C5B2D"/>
    <w:rsid w:val="002C78BA"/>
    <w:rsid w:val="002D0161"/>
    <w:rsid w:val="002D079C"/>
    <w:rsid w:val="002D28DE"/>
    <w:rsid w:val="002D3ED6"/>
    <w:rsid w:val="002D557C"/>
    <w:rsid w:val="002D5B29"/>
    <w:rsid w:val="002D660C"/>
    <w:rsid w:val="002D72E3"/>
    <w:rsid w:val="002D7D02"/>
    <w:rsid w:val="002E168F"/>
    <w:rsid w:val="002E1911"/>
    <w:rsid w:val="002E1C20"/>
    <w:rsid w:val="002E5AC7"/>
    <w:rsid w:val="002F0994"/>
    <w:rsid w:val="002F1C63"/>
    <w:rsid w:val="002F2567"/>
    <w:rsid w:val="002F3087"/>
    <w:rsid w:val="002F4116"/>
    <w:rsid w:val="002F439A"/>
    <w:rsid w:val="002F7181"/>
    <w:rsid w:val="003041D6"/>
    <w:rsid w:val="003046D8"/>
    <w:rsid w:val="00305590"/>
    <w:rsid w:val="00311A99"/>
    <w:rsid w:val="00312DC9"/>
    <w:rsid w:val="003142FD"/>
    <w:rsid w:val="003215FB"/>
    <w:rsid w:val="003218F2"/>
    <w:rsid w:val="00323C6C"/>
    <w:rsid w:val="00324A4D"/>
    <w:rsid w:val="003253D9"/>
    <w:rsid w:val="00333045"/>
    <w:rsid w:val="00336F74"/>
    <w:rsid w:val="003423F2"/>
    <w:rsid w:val="00343516"/>
    <w:rsid w:val="00343B73"/>
    <w:rsid w:val="00346B63"/>
    <w:rsid w:val="00350EAC"/>
    <w:rsid w:val="003529AD"/>
    <w:rsid w:val="00353B62"/>
    <w:rsid w:val="0036064D"/>
    <w:rsid w:val="003615B3"/>
    <w:rsid w:val="003639AD"/>
    <w:rsid w:val="00363E19"/>
    <w:rsid w:val="00364FF4"/>
    <w:rsid w:val="00365459"/>
    <w:rsid w:val="003664AA"/>
    <w:rsid w:val="003767D5"/>
    <w:rsid w:val="0038172D"/>
    <w:rsid w:val="00382709"/>
    <w:rsid w:val="003844B8"/>
    <w:rsid w:val="00385271"/>
    <w:rsid w:val="00385B46"/>
    <w:rsid w:val="00390A82"/>
    <w:rsid w:val="003912D3"/>
    <w:rsid w:val="0039175E"/>
    <w:rsid w:val="00391C84"/>
    <w:rsid w:val="0039215E"/>
    <w:rsid w:val="00394681"/>
    <w:rsid w:val="00396CCC"/>
    <w:rsid w:val="0039752F"/>
    <w:rsid w:val="00397CA1"/>
    <w:rsid w:val="00397EB0"/>
    <w:rsid w:val="003A05D8"/>
    <w:rsid w:val="003A0DBA"/>
    <w:rsid w:val="003A3209"/>
    <w:rsid w:val="003A391A"/>
    <w:rsid w:val="003A3A8A"/>
    <w:rsid w:val="003A44BF"/>
    <w:rsid w:val="003A7B10"/>
    <w:rsid w:val="003B18D7"/>
    <w:rsid w:val="003B29A8"/>
    <w:rsid w:val="003B3777"/>
    <w:rsid w:val="003B3ABE"/>
    <w:rsid w:val="003B4C7B"/>
    <w:rsid w:val="003B62D8"/>
    <w:rsid w:val="003C24E5"/>
    <w:rsid w:val="003C4DDB"/>
    <w:rsid w:val="003C5087"/>
    <w:rsid w:val="003C5696"/>
    <w:rsid w:val="003C5F02"/>
    <w:rsid w:val="003C6889"/>
    <w:rsid w:val="003C6C09"/>
    <w:rsid w:val="003D164F"/>
    <w:rsid w:val="003D2210"/>
    <w:rsid w:val="003D30C8"/>
    <w:rsid w:val="003D3927"/>
    <w:rsid w:val="003D479B"/>
    <w:rsid w:val="003D543C"/>
    <w:rsid w:val="003D5A00"/>
    <w:rsid w:val="003D76F4"/>
    <w:rsid w:val="003D7B4B"/>
    <w:rsid w:val="003D7CE8"/>
    <w:rsid w:val="003E19B3"/>
    <w:rsid w:val="003E225F"/>
    <w:rsid w:val="003E282A"/>
    <w:rsid w:val="003F084F"/>
    <w:rsid w:val="003F092B"/>
    <w:rsid w:val="003F1C8B"/>
    <w:rsid w:val="003F2FA0"/>
    <w:rsid w:val="003F4966"/>
    <w:rsid w:val="003F6C7A"/>
    <w:rsid w:val="003F7D99"/>
    <w:rsid w:val="00400BA6"/>
    <w:rsid w:val="004019B2"/>
    <w:rsid w:val="004028D3"/>
    <w:rsid w:val="00402FFB"/>
    <w:rsid w:val="00406B82"/>
    <w:rsid w:val="00413CE9"/>
    <w:rsid w:val="00413D73"/>
    <w:rsid w:val="00416364"/>
    <w:rsid w:val="004179E1"/>
    <w:rsid w:val="00417DBA"/>
    <w:rsid w:val="0042095E"/>
    <w:rsid w:val="004266C1"/>
    <w:rsid w:val="00430069"/>
    <w:rsid w:val="004340CF"/>
    <w:rsid w:val="00436EF8"/>
    <w:rsid w:val="00441554"/>
    <w:rsid w:val="00441FBA"/>
    <w:rsid w:val="004468B1"/>
    <w:rsid w:val="004508DD"/>
    <w:rsid w:val="004531EF"/>
    <w:rsid w:val="00455843"/>
    <w:rsid w:val="004611FA"/>
    <w:rsid w:val="0046254B"/>
    <w:rsid w:val="00462604"/>
    <w:rsid w:val="00463514"/>
    <w:rsid w:val="00464908"/>
    <w:rsid w:val="00465DB0"/>
    <w:rsid w:val="00465EC7"/>
    <w:rsid w:val="0047106F"/>
    <w:rsid w:val="00475236"/>
    <w:rsid w:val="0048099F"/>
    <w:rsid w:val="00480B6A"/>
    <w:rsid w:val="00481DF7"/>
    <w:rsid w:val="00483CB1"/>
    <w:rsid w:val="00485EBF"/>
    <w:rsid w:val="004871A4"/>
    <w:rsid w:val="0049412F"/>
    <w:rsid w:val="004A2DEB"/>
    <w:rsid w:val="004A42C1"/>
    <w:rsid w:val="004A4A04"/>
    <w:rsid w:val="004A5B8B"/>
    <w:rsid w:val="004A6492"/>
    <w:rsid w:val="004A6A35"/>
    <w:rsid w:val="004A7A59"/>
    <w:rsid w:val="004B10F9"/>
    <w:rsid w:val="004B488A"/>
    <w:rsid w:val="004C02BA"/>
    <w:rsid w:val="004C1747"/>
    <w:rsid w:val="004C2A90"/>
    <w:rsid w:val="004C52D1"/>
    <w:rsid w:val="004C6AA6"/>
    <w:rsid w:val="004C7188"/>
    <w:rsid w:val="004D2314"/>
    <w:rsid w:val="004D4604"/>
    <w:rsid w:val="004D4D73"/>
    <w:rsid w:val="004E1239"/>
    <w:rsid w:val="004E21F7"/>
    <w:rsid w:val="004E4DA4"/>
    <w:rsid w:val="004F0B95"/>
    <w:rsid w:val="004F129D"/>
    <w:rsid w:val="004F73C4"/>
    <w:rsid w:val="0050068E"/>
    <w:rsid w:val="005033EE"/>
    <w:rsid w:val="00503549"/>
    <w:rsid w:val="005051F8"/>
    <w:rsid w:val="00515BFF"/>
    <w:rsid w:val="0052071B"/>
    <w:rsid w:val="005226A7"/>
    <w:rsid w:val="00524C21"/>
    <w:rsid w:val="005252BE"/>
    <w:rsid w:val="005305E7"/>
    <w:rsid w:val="00530DBE"/>
    <w:rsid w:val="0053323E"/>
    <w:rsid w:val="005335CA"/>
    <w:rsid w:val="005361B1"/>
    <w:rsid w:val="00540A27"/>
    <w:rsid w:val="00540B65"/>
    <w:rsid w:val="00541357"/>
    <w:rsid w:val="00541476"/>
    <w:rsid w:val="0055158A"/>
    <w:rsid w:val="0056420E"/>
    <w:rsid w:val="00565C6C"/>
    <w:rsid w:val="00566D98"/>
    <w:rsid w:val="00567AC7"/>
    <w:rsid w:val="005726B3"/>
    <w:rsid w:val="005729DA"/>
    <w:rsid w:val="00572C99"/>
    <w:rsid w:val="005759CB"/>
    <w:rsid w:val="005771C9"/>
    <w:rsid w:val="005774CC"/>
    <w:rsid w:val="00577A38"/>
    <w:rsid w:val="00580478"/>
    <w:rsid w:val="00580B6B"/>
    <w:rsid w:val="005815C2"/>
    <w:rsid w:val="005833A1"/>
    <w:rsid w:val="005866D5"/>
    <w:rsid w:val="00586E61"/>
    <w:rsid w:val="0059041C"/>
    <w:rsid w:val="00591ACC"/>
    <w:rsid w:val="00594B7D"/>
    <w:rsid w:val="0059786E"/>
    <w:rsid w:val="005A06F5"/>
    <w:rsid w:val="005A7601"/>
    <w:rsid w:val="005A7671"/>
    <w:rsid w:val="005A7DFB"/>
    <w:rsid w:val="005B680E"/>
    <w:rsid w:val="005B6A3E"/>
    <w:rsid w:val="005C1923"/>
    <w:rsid w:val="005C2346"/>
    <w:rsid w:val="005C2FB8"/>
    <w:rsid w:val="005C381B"/>
    <w:rsid w:val="005C5C88"/>
    <w:rsid w:val="005C66D8"/>
    <w:rsid w:val="005D0CDB"/>
    <w:rsid w:val="005D244D"/>
    <w:rsid w:val="005D4170"/>
    <w:rsid w:val="005D73BB"/>
    <w:rsid w:val="005E386C"/>
    <w:rsid w:val="005E4000"/>
    <w:rsid w:val="005E6165"/>
    <w:rsid w:val="005E62D5"/>
    <w:rsid w:val="005E74B5"/>
    <w:rsid w:val="005E7585"/>
    <w:rsid w:val="005F0D54"/>
    <w:rsid w:val="005F1953"/>
    <w:rsid w:val="005F3F19"/>
    <w:rsid w:val="00600959"/>
    <w:rsid w:val="006013A4"/>
    <w:rsid w:val="00604C79"/>
    <w:rsid w:val="006054E6"/>
    <w:rsid w:val="006064F2"/>
    <w:rsid w:val="006102A8"/>
    <w:rsid w:val="00612D75"/>
    <w:rsid w:val="0061311F"/>
    <w:rsid w:val="00613387"/>
    <w:rsid w:val="006240E4"/>
    <w:rsid w:val="0063685C"/>
    <w:rsid w:val="00642219"/>
    <w:rsid w:val="0064319D"/>
    <w:rsid w:val="00643268"/>
    <w:rsid w:val="006462C6"/>
    <w:rsid w:val="006514A1"/>
    <w:rsid w:val="006526A7"/>
    <w:rsid w:val="006533E0"/>
    <w:rsid w:val="00655BC6"/>
    <w:rsid w:val="00656B14"/>
    <w:rsid w:val="00657313"/>
    <w:rsid w:val="006608F3"/>
    <w:rsid w:val="006622CD"/>
    <w:rsid w:val="00662E84"/>
    <w:rsid w:val="006631CD"/>
    <w:rsid w:val="0066356F"/>
    <w:rsid w:val="00664F9C"/>
    <w:rsid w:val="00665061"/>
    <w:rsid w:val="006670D4"/>
    <w:rsid w:val="00670957"/>
    <w:rsid w:val="00674499"/>
    <w:rsid w:val="00675459"/>
    <w:rsid w:val="006768BA"/>
    <w:rsid w:val="00676984"/>
    <w:rsid w:val="00677FD9"/>
    <w:rsid w:val="006810E3"/>
    <w:rsid w:val="00681838"/>
    <w:rsid w:val="00681E38"/>
    <w:rsid w:val="00682362"/>
    <w:rsid w:val="00682B37"/>
    <w:rsid w:val="00684360"/>
    <w:rsid w:val="006861A7"/>
    <w:rsid w:val="006871C1"/>
    <w:rsid w:val="006921DF"/>
    <w:rsid w:val="00695B27"/>
    <w:rsid w:val="006A6B21"/>
    <w:rsid w:val="006A7AE0"/>
    <w:rsid w:val="006B0415"/>
    <w:rsid w:val="006B541A"/>
    <w:rsid w:val="006B5547"/>
    <w:rsid w:val="006C48CC"/>
    <w:rsid w:val="006C69E0"/>
    <w:rsid w:val="006D002B"/>
    <w:rsid w:val="006D1CA4"/>
    <w:rsid w:val="006D3921"/>
    <w:rsid w:val="006D4523"/>
    <w:rsid w:val="006E4C1D"/>
    <w:rsid w:val="006E4F6C"/>
    <w:rsid w:val="006E60D6"/>
    <w:rsid w:val="006E79A5"/>
    <w:rsid w:val="006F53C5"/>
    <w:rsid w:val="006F7790"/>
    <w:rsid w:val="00700004"/>
    <w:rsid w:val="007024ED"/>
    <w:rsid w:val="007113EA"/>
    <w:rsid w:val="00715672"/>
    <w:rsid w:val="007161A8"/>
    <w:rsid w:val="00717FEA"/>
    <w:rsid w:val="0072235E"/>
    <w:rsid w:val="007242CE"/>
    <w:rsid w:val="00724A65"/>
    <w:rsid w:val="00732AB9"/>
    <w:rsid w:val="0073549F"/>
    <w:rsid w:val="00735C5A"/>
    <w:rsid w:val="0073615E"/>
    <w:rsid w:val="00736AD2"/>
    <w:rsid w:val="007430D9"/>
    <w:rsid w:val="00743D1D"/>
    <w:rsid w:val="007448B5"/>
    <w:rsid w:val="00746630"/>
    <w:rsid w:val="00746CAF"/>
    <w:rsid w:val="00750FF9"/>
    <w:rsid w:val="00752408"/>
    <w:rsid w:val="00753F07"/>
    <w:rsid w:val="00755935"/>
    <w:rsid w:val="007571B5"/>
    <w:rsid w:val="00757BEA"/>
    <w:rsid w:val="0076075B"/>
    <w:rsid w:val="007630AD"/>
    <w:rsid w:val="00763451"/>
    <w:rsid w:val="00773C97"/>
    <w:rsid w:val="00774043"/>
    <w:rsid w:val="00776624"/>
    <w:rsid w:val="00782BF7"/>
    <w:rsid w:val="00783795"/>
    <w:rsid w:val="00783DB6"/>
    <w:rsid w:val="00785579"/>
    <w:rsid w:val="00785FE3"/>
    <w:rsid w:val="0079235D"/>
    <w:rsid w:val="00792815"/>
    <w:rsid w:val="007961AC"/>
    <w:rsid w:val="0079686F"/>
    <w:rsid w:val="007A0C31"/>
    <w:rsid w:val="007A2317"/>
    <w:rsid w:val="007A34DF"/>
    <w:rsid w:val="007A618D"/>
    <w:rsid w:val="007B124C"/>
    <w:rsid w:val="007B1D94"/>
    <w:rsid w:val="007B4832"/>
    <w:rsid w:val="007C64E5"/>
    <w:rsid w:val="007C767F"/>
    <w:rsid w:val="007C7AA6"/>
    <w:rsid w:val="007D102D"/>
    <w:rsid w:val="007D2F53"/>
    <w:rsid w:val="007D40FF"/>
    <w:rsid w:val="007D4F0F"/>
    <w:rsid w:val="007E69CE"/>
    <w:rsid w:val="007E6D78"/>
    <w:rsid w:val="007F06E9"/>
    <w:rsid w:val="007F2F56"/>
    <w:rsid w:val="007F5F77"/>
    <w:rsid w:val="007F7546"/>
    <w:rsid w:val="007F7C64"/>
    <w:rsid w:val="007F7CE1"/>
    <w:rsid w:val="008005C3"/>
    <w:rsid w:val="008016A9"/>
    <w:rsid w:val="00801ABF"/>
    <w:rsid w:val="00802803"/>
    <w:rsid w:val="00802CB1"/>
    <w:rsid w:val="00803A95"/>
    <w:rsid w:val="00810678"/>
    <w:rsid w:val="00812080"/>
    <w:rsid w:val="008133BF"/>
    <w:rsid w:val="008134F9"/>
    <w:rsid w:val="00815671"/>
    <w:rsid w:val="008200F2"/>
    <w:rsid w:val="00821937"/>
    <w:rsid w:val="00824237"/>
    <w:rsid w:val="00825C42"/>
    <w:rsid w:val="00827B71"/>
    <w:rsid w:val="00830A1E"/>
    <w:rsid w:val="00835BF6"/>
    <w:rsid w:val="008422A7"/>
    <w:rsid w:val="00842C3D"/>
    <w:rsid w:val="008431E0"/>
    <w:rsid w:val="00843F51"/>
    <w:rsid w:val="00844060"/>
    <w:rsid w:val="00844212"/>
    <w:rsid w:val="00851885"/>
    <w:rsid w:val="00852108"/>
    <w:rsid w:val="0085256B"/>
    <w:rsid w:val="00855645"/>
    <w:rsid w:val="008558F3"/>
    <w:rsid w:val="0085623A"/>
    <w:rsid w:val="00860E3C"/>
    <w:rsid w:val="0086523E"/>
    <w:rsid w:val="008679D2"/>
    <w:rsid w:val="00870110"/>
    <w:rsid w:val="00871536"/>
    <w:rsid w:val="00871A75"/>
    <w:rsid w:val="0087467B"/>
    <w:rsid w:val="00874CAC"/>
    <w:rsid w:val="008779FD"/>
    <w:rsid w:val="00881589"/>
    <w:rsid w:val="008817D8"/>
    <w:rsid w:val="00881A04"/>
    <w:rsid w:val="00883153"/>
    <w:rsid w:val="00884978"/>
    <w:rsid w:val="00885040"/>
    <w:rsid w:val="008861D7"/>
    <w:rsid w:val="00890E51"/>
    <w:rsid w:val="008926CC"/>
    <w:rsid w:val="00895912"/>
    <w:rsid w:val="00896B12"/>
    <w:rsid w:val="00897DB8"/>
    <w:rsid w:val="008A4A0B"/>
    <w:rsid w:val="008A524D"/>
    <w:rsid w:val="008A6D52"/>
    <w:rsid w:val="008B0771"/>
    <w:rsid w:val="008B6220"/>
    <w:rsid w:val="008C0D49"/>
    <w:rsid w:val="008C52E2"/>
    <w:rsid w:val="008C7883"/>
    <w:rsid w:val="008D5556"/>
    <w:rsid w:val="008E305D"/>
    <w:rsid w:val="008E3FF1"/>
    <w:rsid w:val="008E41A4"/>
    <w:rsid w:val="008E47EA"/>
    <w:rsid w:val="008E6865"/>
    <w:rsid w:val="008E7BED"/>
    <w:rsid w:val="008F68B3"/>
    <w:rsid w:val="008F68D3"/>
    <w:rsid w:val="008F79D2"/>
    <w:rsid w:val="00902C76"/>
    <w:rsid w:val="00907A3D"/>
    <w:rsid w:val="0091390E"/>
    <w:rsid w:val="0091392E"/>
    <w:rsid w:val="00914262"/>
    <w:rsid w:val="00916487"/>
    <w:rsid w:val="009168AD"/>
    <w:rsid w:val="009274B4"/>
    <w:rsid w:val="00937813"/>
    <w:rsid w:val="009437AB"/>
    <w:rsid w:val="00943BDC"/>
    <w:rsid w:val="00944C1A"/>
    <w:rsid w:val="00944CDE"/>
    <w:rsid w:val="009454DB"/>
    <w:rsid w:val="00946404"/>
    <w:rsid w:val="00951492"/>
    <w:rsid w:val="00952AC2"/>
    <w:rsid w:val="0095546A"/>
    <w:rsid w:val="0095719B"/>
    <w:rsid w:val="00957FB4"/>
    <w:rsid w:val="00970808"/>
    <w:rsid w:val="00971133"/>
    <w:rsid w:val="00974931"/>
    <w:rsid w:val="00974942"/>
    <w:rsid w:val="0098133C"/>
    <w:rsid w:val="0098243F"/>
    <w:rsid w:val="00982F2F"/>
    <w:rsid w:val="00985148"/>
    <w:rsid w:val="009912FD"/>
    <w:rsid w:val="00992B52"/>
    <w:rsid w:val="00992F93"/>
    <w:rsid w:val="009947FE"/>
    <w:rsid w:val="00994B2C"/>
    <w:rsid w:val="009A0A13"/>
    <w:rsid w:val="009A21C6"/>
    <w:rsid w:val="009A5908"/>
    <w:rsid w:val="009A5E24"/>
    <w:rsid w:val="009B17A1"/>
    <w:rsid w:val="009B1F58"/>
    <w:rsid w:val="009C2DA8"/>
    <w:rsid w:val="009C7338"/>
    <w:rsid w:val="009D2E9A"/>
    <w:rsid w:val="009D32FB"/>
    <w:rsid w:val="009D7E87"/>
    <w:rsid w:val="009E15E7"/>
    <w:rsid w:val="009E223F"/>
    <w:rsid w:val="009E41EB"/>
    <w:rsid w:val="009E68D2"/>
    <w:rsid w:val="009F06C3"/>
    <w:rsid w:val="009F5385"/>
    <w:rsid w:val="009F59D3"/>
    <w:rsid w:val="009F6749"/>
    <w:rsid w:val="009F732E"/>
    <w:rsid w:val="00A00A77"/>
    <w:rsid w:val="00A01F0C"/>
    <w:rsid w:val="00A0257D"/>
    <w:rsid w:val="00A036C9"/>
    <w:rsid w:val="00A043F9"/>
    <w:rsid w:val="00A1360D"/>
    <w:rsid w:val="00A16A9F"/>
    <w:rsid w:val="00A170DA"/>
    <w:rsid w:val="00A21289"/>
    <w:rsid w:val="00A22AB2"/>
    <w:rsid w:val="00A23675"/>
    <w:rsid w:val="00A23C80"/>
    <w:rsid w:val="00A24A4D"/>
    <w:rsid w:val="00A2704D"/>
    <w:rsid w:val="00A276F0"/>
    <w:rsid w:val="00A2790E"/>
    <w:rsid w:val="00A328F3"/>
    <w:rsid w:val="00A34DAF"/>
    <w:rsid w:val="00A4250E"/>
    <w:rsid w:val="00A43436"/>
    <w:rsid w:val="00A4481B"/>
    <w:rsid w:val="00A46727"/>
    <w:rsid w:val="00A46885"/>
    <w:rsid w:val="00A611D7"/>
    <w:rsid w:val="00A6555D"/>
    <w:rsid w:val="00A65FE5"/>
    <w:rsid w:val="00A66012"/>
    <w:rsid w:val="00A762A6"/>
    <w:rsid w:val="00A77897"/>
    <w:rsid w:val="00A80BC2"/>
    <w:rsid w:val="00A82D88"/>
    <w:rsid w:val="00A83D05"/>
    <w:rsid w:val="00A8514F"/>
    <w:rsid w:val="00A85187"/>
    <w:rsid w:val="00A86935"/>
    <w:rsid w:val="00A875F1"/>
    <w:rsid w:val="00A91B95"/>
    <w:rsid w:val="00A93324"/>
    <w:rsid w:val="00A9353B"/>
    <w:rsid w:val="00A94621"/>
    <w:rsid w:val="00A95969"/>
    <w:rsid w:val="00A96235"/>
    <w:rsid w:val="00AA0669"/>
    <w:rsid w:val="00AA5A0F"/>
    <w:rsid w:val="00AA63CF"/>
    <w:rsid w:val="00AA7A1D"/>
    <w:rsid w:val="00AB0063"/>
    <w:rsid w:val="00AB06D3"/>
    <w:rsid w:val="00AB0ACE"/>
    <w:rsid w:val="00AB335E"/>
    <w:rsid w:val="00AB4367"/>
    <w:rsid w:val="00AB67E7"/>
    <w:rsid w:val="00AC1AD7"/>
    <w:rsid w:val="00AC273A"/>
    <w:rsid w:val="00AD1B7F"/>
    <w:rsid w:val="00AD2C75"/>
    <w:rsid w:val="00AD46A4"/>
    <w:rsid w:val="00AE3971"/>
    <w:rsid w:val="00AE55A9"/>
    <w:rsid w:val="00AE7CAE"/>
    <w:rsid w:val="00AF064B"/>
    <w:rsid w:val="00AF1EA6"/>
    <w:rsid w:val="00AF3180"/>
    <w:rsid w:val="00AF33EA"/>
    <w:rsid w:val="00AF38BF"/>
    <w:rsid w:val="00AF3CE5"/>
    <w:rsid w:val="00AF6366"/>
    <w:rsid w:val="00B010B6"/>
    <w:rsid w:val="00B02785"/>
    <w:rsid w:val="00B05539"/>
    <w:rsid w:val="00B06426"/>
    <w:rsid w:val="00B06CCC"/>
    <w:rsid w:val="00B073C0"/>
    <w:rsid w:val="00B0789B"/>
    <w:rsid w:val="00B13C1D"/>
    <w:rsid w:val="00B1678C"/>
    <w:rsid w:val="00B213B0"/>
    <w:rsid w:val="00B222FC"/>
    <w:rsid w:val="00B22CF9"/>
    <w:rsid w:val="00B25FA6"/>
    <w:rsid w:val="00B267F3"/>
    <w:rsid w:val="00B30DFF"/>
    <w:rsid w:val="00B314B0"/>
    <w:rsid w:val="00B406D5"/>
    <w:rsid w:val="00B41EBD"/>
    <w:rsid w:val="00B42AA8"/>
    <w:rsid w:val="00B46FBD"/>
    <w:rsid w:val="00B502CB"/>
    <w:rsid w:val="00B51B72"/>
    <w:rsid w:val="00B558AC"/>
    <w:rsid w:val="00B567DC"/>
    <w:rsid w:val="00B568AC"/>
    <w:rsid w:val="00B623D2"/>
    <w:rsid w:val="00B63D19"/>
    <w:rsid w:val="00B640B5"/>
    <w:rsid w:val="00B664B2"/>
    <w:rsid w:val="00B7528A"/>
    <w:rsid w:val="00B80025"/>
    <w:rsid w:val="00B81334"/>
    <w:rsid w:val="00B83CC4"/>
    <w:rsid w:val="00B90943"/>
    <w:rsid w:val="00B924EC"/>
    <w:rsid w:val="00B92733"/>
    <w:rsid w:val="00B9285E"/>
    <w:rsid w:val="00BA004A"/>
    <w:rsid w:val="00BA04F3"/>
    <w:rsid w:val="00BA0685"/>
    <w:rsid w:val="00BA1D8F"/>
    <w:rsid w:val="00BA31EC"/>
    <w:rsid w:val="00BA7D3B"/>
    <w:rsid w:val="00BB5192"/>
    <w:rsid w:val="00BB58E3"/>
    <w:rsid w:val="00BB6D12"/>
    <w:rsid w:val="00BB6D9F"/>
    <w:rsid w:val="00BB7A0E"/>
    <w:rsid w:val="00BC0276"/>
    <w:rsid w:val="00BC0A2E"/>
    <w:rsid w:val="00BC1430"/>
    <w:rsid w:val="00BC2C7E"/>
    <w:rsid w:val="00BC3277"/>
    <w:rsid w:val="00BC502C"/>
    <w:rsid w:val="00BC5D8D"/>
    <w:rsid w:val="00BC7058"/>
    <w:rsid w:val="00BD0137"/>
    <w:rsid w:val="00BD505D"/>
    <w:rsid w:val="00BD786D"/>
    <w:rsid w:val="00BE28FA"/>
    <w:rsid w:val="00BE2DD4"/>
    <w:rsid w:val="00BE2F70"/>
    <w:rsid w:val="00BE5756"/>
    <w:rsid w:val="00BE6226"/>
    <w:rsid w:val="00BF0567"/>
    <w:rsid w:val="00BF1B43"/>
    <w:rsid w:val="00BF5D07"/>
    <w:rsid w:val="00BF6B20"/>
    <w:rsid w:val="00BF6FF7"/>
    <w:rsid w:val="00C03DDB"/>
    <w:rsid w:val="00C03DF8"/>
    <w:rsid w:val="00C041D9"/>
    <w:rsid w:val="00C06AB5"/>
    <w:rsid w:val="00C103C1"/>
    <w:rsid w:val="00C131CC"/>
    <w:rsid w:val="00C136E6"/>
    <w:rsid w:val="00C16D7C"/>
    <w:rsid w:val="00C20EE5"/>
    <w:rsid w:val="00C22F62"/>
    <w:rsid w:val="00C23614"/>
    <w:rsid w:val="00C25BD2"/>
    <w:rsid w:val="00C32499"/>
    <w:rsid w:val="00C329BB"/>
    <w:rsid w:val="00C33267"/>
    <w:rsid w:val="00C34ABA"/>
    <w:rsid w:val="00C34D8A"/>
    <w:rsid w:val="00C358D6"/>
    <w:rsid w:val="00C4109D"/>
    <w:rsid w:val="00C412A6"/>
    <w:rsid w:val="00C41BBD"/>
    <w:rsid w:val="00C42E96"/>
    <w:rsid w:val="00C45DF7"/>
    <w:rsid w:val="00C468D9"/>
    <w:rsid w:val="00C47576"/>
    <w:rsid w:val="00C53002"/>
    <w:rsid w:val="00C5678E"/>
    <w:rsid w:val="00C56D59"/>
    <w:rsid w:val="00C606F3"/>
    <w:rsid w:val="00C65172"/>
    <w:rsid w:val="00C651DE"/>
    <w:rsid w:val="00C70C9F"/>
    <w:rsid w:val="00C7777E"/>
    <w:rsid w:val="00C81656"/>
    <w:rsid w:val="00C82A8C"/>
    <w:rsid w:val="00C84F7F"/>
    <w:rsid w:val="00C85B75"/>
    <w:rsid w:val="00C85EAF"/>
    <w:rsid w:val="00C90D40"/>
    <w:rsid w:val="00C96182"/>
    <w:rsid w:val="00C97FB1"/>
    <w:rsid w:val="00CA369D"/>
    <w:rsid w:val="00CB1454"/>
    <w:rsid w:val="00CB431E"/>
    <w:rsid w:val="00CB4B76"/>
    <w:rsid w:val="00CB53DF"/>
    <w:rsid w:val="00CC141B"/>
    <w:rsid w:val="00CC1901"/>
    <w:rsid w:val="00CD000A"/>
    <w:rsid w:val="00CD0239"/>
    <w:rsid w:val="00CD047D"/>
    <w:rsid w:val="00CD29DD"/>
    <w:rsid w:val="00CE5140"/>
    <w:rsid w:val="00CE529F"/>
    <w:rsid w:val="00CF02DE"/>
    <w:rsid w:val="00CF14A8"/>
    <w:rsid w:val="00CF2B6F"/>
    <w:rsid w:val="00D00826"/>
    <w:rsid w:val="00D027E7"/>
    <w:rsid w:val="00D040BF"/>
    <w:rsid w:val="00D06C35"/>
    <w:rsid w:val="00D07C1D"/>
    <w:rsid w:val="00D12632"/>
    <w:rsid w:val="00D173E2"/>
    <w:rsid w:val="00D20907"/>
    <w:rsid w:val="00D2140C"/>
    <w:rsid w:val="00D2327D"/>
    <w:rsid w:val="00D24664"/>
    <w:rsid w:val="00D26C41"/>
    <w:rsid w:val="00D32B34"/>
    <w:rsid w:val="00D34AFD"/>
    <w:rsid w:val="00D42902"/>
    <w:rsid w:val="00D43FCF"/>
    <w:rsid w:val="00D4626E"/>
    <w:rsid w:val="00D47969"/>
    <w:rsid w:val="00D47D30"/>
    <w:rsid w:val="00D50CAA"/>
    <w:rsid w:val="00D525D2"/>
    <w:rsid w:val="00D55E6F"/>
    <w:rsid w:val="00D60978"/>
    <w:rsid w:val="00D637D5"/>
    <w:rsid w:val="00D66BBA"/>
    <w:rsid w:val="00D70679"/>
    <w:rsid w:val="00D73D38"/>
    <w:rsid w:val="00D74F90"/>
    <w:rsid w:val="00D75CE5"/>
    <w:rsid w:val="00D76184"/>
    <w:rsid w:val="00D776D6"/>
    <w:rsid w:val="00D80008"/>
    <w:rsid w:val="00D8053E"/>
    <w:rsid w:val="00D829F8"/>
    <w:rsid w:val="00D8439F"/>
    <w:rsid w:val="00D84442"/>
    <w:rsid w:val="00D86D30"/>
    <w:rsid w:val="00D9272F"/>
    <w:rsid w:val="00D94558"/>
    <w:rsid w:val="00DA0C08"/>
    <w:rsid w:val="00DA4550"/>
    <w:rsid w:val="00DA6A8E"/>
    <w:rsid w:val="00DA7C94"/>
    <w:rsid w:val="00DB09D6"/>
    <w:rsid w:val="00DB0CF5"/>
    <w:rsid w:val="00DB29A0"/>
    <w:rsid w:val="00DB2DB8"/>
    <w:rsid w:val="00DB2F31"/>
    <w:rsid w:val="00DB4756"/>
    <w:rsid w:val="00DB4EB9"/>
    <w:rsid w:val="00DB576A"/>
    <w:rsid w:val="00DC470D"/>
    <w:rsid w:val="00DC74DF"/>
    <w:rsid w:val="00DC7E00"/>
    <w:rsid w:val="00DD190F"/>
    <w:rsid w:val="00DD4066"/>
    <w:rsid w:val="00DD4236"/>
    <w:rsid w:val="00DD4C08"/>
    <w:rsid w:val="00DD5AB9"/>
    <w:rsid w:val="00DD5E4D"/>
    <w:rsid w:val="00DD76BF"/>
    <w:rsid w:val="00DF450A"/>
    <w:rsid w:val="00E0292A"/>
    <w:rsid w:val="00E02CE9"/>
    <w:rsid w:val="00E02EDC"/>
    <w:rsid w:val="00E03861"/>
    <w:rsid w:val="00E04EFE"/>
    <w:rsid w:val="00E0678A"/>
    <w:rsid w:val="00E06F4B"/>
    <w:rsid w:val="00E13C0B"/>
    <w:rsid w:val="00E1452D"/>
    <w:rsid w:val="00E14F88"/>
    <w:rsid w:val="00E160DD"/>
    <w:rsid w:val="00E20401"/>
    <w:rsid w:val="00E20C3B"/>
    <w:rsid w:val="00E219F7"/>
    <w:rsid w:val="00E23425"/>
    <w:rsid w:val="00E23A8D"/>
    <w:rsid w:val="00E24166"/>
    <w:rsid w:val="00E302DA"/>
    <w:rsid w:val="00E3084A"/>
    <w:rsid w:val="00E33472"/>
    <w:rsid w:val="00E35A29"/>
    <w:rsid w:val="00E40F17"/>
    <w:rsid w:val="00E42C92"/>
    <w:rsid w:val="00E432CD"/>
    <w:rsid w:val="00E4335F"/>
    <w:rsid w:val="00E47450"/>
    <w:rsid w:val="00E53987"/>
    <w:rsid w:val="00E54B45"/>
    <w:rsid w:val="00E5651F"/>
    <w:rsid w:val="00E56B37"/>
    <w:rsid w:val="00E625BD"/>
    <w:rsid w:val="00E65D5F"/>
    <w:rsid w:val="00E72658"/>
    <w:rsid w:val="00E733D9"/>
    <w:rsid w:val="00E74EE0"/>
    <w:rsid w:val="00E82370"/>
    <w:rsid w:val="00E82AF9"/>
    <w:rsid w:val="00E83669"/>
    <w:rsid w:val="00E84A68"/>
    <w:rsid w:val="00E90BDD"/>
    <w:rsid w:val="00E91316"/>
    <w:rsid w:val="00E91A45"/>
    <w:rsid w:val="00E94005"/>
    <w:rsid w:val="00E94B18"/>
    <w:rsid w:val="00E97B06"/>
    <w:rsid w:val="00EA59F6"/>
    <w:rsid w:val="00EA630B"/>
    <w:rsid w:val="00EA681F"/>
    <w:rsid w:val="00EB23A9"/>
    <w:rsid w:val="00EB4875"/>
    <w:rsid w:val="00EC1EA1"/>
    <w:rsid w:val="00EC5E9F"/>
    <w:rsid w:val="00EC71EE"/>
    <w:rsid w:val="00ED08EE"/>
    <w:rsid w:val="00ED1E1A"/>
    <w:rsid w:val="00ED1FA5"/>
    <w:rsid w:val="00ED296B"/>
    <w:rsid w:val="00ED3E75"/>
    <w:rsid w:val="00ED4239"/>
    <w:rsid w:val="00ED7859"/>
    <w:rsid w:val="00EE198A"/>
    <w:rsid w:val="00EE27E8"/>
    <w:rsid w:val="00EE37FE"/>
    <w:rsid w:val="00EE397A"/>
    <w:rsid w:val="00EE475D"/>
    <w:rsid w:val="00EE6076"/>
    <w:rsid w:val="00EF0475"/>
    <w:rsid w:val="00EF10BA"/>
    <w:rsid w:val="00EF2132"/>
    <w:rsid w:val="00EF3652"/>
    <w:rsid w:val="00EF560A"/>
    <w:rsid w:val="00EF6A60"/>
    <w:rsid w:val="00F0074D"/>
    <w:rsid w:val="00F0774D"/>
    <w:rsid w:val="00F12957"/>
    <w:rsid w:val="00F130AE"/>
    <w:rsid w:val="00F13D93"/>
    <w:rsid w:val="00F148A8"/>
    <w:rsid w:val="00F16421"/>
    <w:rsid w:val="00F17642"/>
    <w:rsid w:val="00F20BB4"/>
    <w:rsid w:val="00F22651"/>
    <w:rsid w:val="00F252F1"/>
    <w:rsid w:val="00F34419"/>
    <w:rsid w:val="00F34C11"/>
    <w:rsid w:val="00F3623D"/>
    <w:rsid w:val="00F41E56"/>
    <w:rsid w:val="00F42FDF"/>
    <w:rsid w:val="00F524A3"/>
    <w:rsid w:val="00F6088E"/>
    <w:rsid w:val="00F620EA"/>
    <w:rsid w:val="00F63048"/>
    <w:rsid w:val="00F6689E"/>
    <w:rsid w:val="00F709D3"/>
    <w:rsid w:val="00F74719"/>
    <w:rsid w:val="00F7542D"/>
    <w:rsid w:val="00F773B4"/>
    <w:rsid w:val="00F77B04"/>
    <w:rsid w:val="00F77D7F"/>
    <w:rsid w:val="00F8016E"/>
    <w:rsid w:val="00F850E0"/>
    <w:rsid w:val="00F85F56"/>
    <w:rsid w:val="00F908FD"/>
    <w:rsid w:val="00F95D40"/>
    <w:rsid w:val="00F979A3"/>
    <w:rsid w:val="00FA1D11"/>
    <w:rsid w:val="00FA37ED"/>
    <w:rsid w:val="00FA5370"/>
    <w:rsid w:val="00FA65D4"/>
    <w:rsid w:val="00FC3738"/>
    <w:rsid w:val="00FC76E3"/>
    <w:rsid w:val="00FD112E"/>
    <w:rsid w:val="00FD16BE"/>
    <w:rsid w:val="00FD4489"/>
    <w:rsid w:val="00FD6B4D"/>
    <w:rsid w:val="00FE0D02"/>
    <w:rsid w:val="00FE2148"/>
    <w:rsid w:val="00FE3DA2"/>
    <w:rsid w:val="00FF267B"/>
    <w:rsid w:val="00FF2960"/>
    <w:rsid w:val="00FF5A7A"/>
    <w:rsid w:val="00FF78EE"/>
    <w:rsid w:val="01200701"/>
    <w:rsid w:val="013840FF"/>
    <w:rsid w:val="02102C11"/>
    <w:rsid w:val="02281EF2"/>
    <w:rsid w:val="024A5A1D"/>
    <w:rsid w:val="02747E69"/>
    <w:rsid w:val="02986291"/>
    <w:rsid w:val="02EB075A"/>
    <w:rsid w:val="031D452B"/>
    <w:rsid w:val="038457FC"/>
    <w:rsid w:val="044B1550"/>
    <w:rsid w:val="04503433"/>
    <w:rsid w:val="046723B4"/>
    <w:rsid w:val="048F1DC5"/>
    <w:rsid w:val="05082EB1"/>
    <w:rsid w:val="052C60B3"/>
    <w:rsid w:val="05E97FA7"/>
    <w:rsid w:val="061C5EE7"/>
    <w:rsid w:val="066F311D"/>
    <w:rsid w:val="06827034"/>
    <w:rsid w:val="06932EBD"/>
    <w:rsid w:val="071212CF"/>
    <w:rsid w:val="08571862"/>
    <w:rsid w:val="08C7394B"/>
    <w:rsid w:val="0A1C6E09"/>
    <w:rsid w:val="0A3B54DB"/>
    <w:rsid w:val="0AF12136"/>
    <w:rsid w:val="0BEE6E7E"/>
    <w:rsid w:val="0C6148BF"/>
    <w:rsid w:val="0CC477AF"/>
    <w:rsid w:val="0D361E62"/>
    <w:rsid w:val="0D5E6105"/>
    <w:rsid w:val="0D703F62"/>
    <w:rsid w:val="0D890118"/>
    <w:rsid w:val="0D985C06"/>
    <w:rsid w:val="0DE11F2E"/>
    <w:rsid w:val="0E45711E"/>
    <w:rsid w:val="0E95257D"/>
    <w:rsid w:val="0E9D0581"/>
    <w:rsid w:val="0F5C0D2F"/>
    <w:rsid w:val="0F734778"/>
    <w:rsid w:val="0F9F793E"/>
    <w:rsid w:val="0FE67C3A"/>
    <w:rsid w:val="0FF8694B"/>
    <w:rsid w:val="10314FAA"/>
    <w:rsid w:val="107E429E"/>
    <w:rsid w:val="10AA51E7"/>
    <w:rsid w:val="110319DD"/>
    <w:rsid w:val="115228F3"/>
    <w:rsid w:val="12003F70"/>
    <w:rsid w:val="125C4AEB"/>
    <w:rsid w:val="128B37EF"/>
    <w:rsid w:val="13027EE3"/>
    <w:rsid w:val="13791BEF"/>
    <w:rsid w:val="13866F4F"/>
    <w:rsid w:val="13A85ABB"/>
    <w:rsid w:val="13CD4FFA"/>
    <w:rsid w:val="13FA78AB"/>
    <w:rsid w:val="14103695"/>
    <w:rsid w:val="145719F9"/>
    <w:rsid w:val="14B6059E"/>
    <w:rsid w:val="14E342D4"/>
    <w:rsid w:val="14E524F8"/>
    <w:rsid w:val="1541387F"/>
    <w:rsid w:val="1543236A"/>
    <w:rsid w:val="15483023"/>
    <w:rsid w:val="158D439F"/>
    <w:rsid w:val="16590195"/>
    <w:rsid w:val="166F060C"/>
    <w:rsid w:val="168D6D6F"/>
    <w:rsid w:val="16AB715A"/>
    <w:rsid w:val="16BA5472"/>
    <w:rsid w:val="16D103C0"/>
    <w:rsid w:val="170C62DC"/>
    <w:rsid w:val="17172E75"/>
    <w:rsid w:val="17387679"/>
    <w:rsid w:val="17703FBE"/>
    <w:rsid w:val="178A2EBC"/>
    <w:rsid w:val="185E164F"/>
    <w:rsid w:val="18655448"/>
    <w:rsid w:val="18AA04D2"/>
    <w:rsid w:val="18AE6921"/>
    <w:rsid w:val="190A54A9"/>
    <w:rsid w:val="192A4DB7"/>
    <w:rsid w:val="194E0E2B"/>
    <w:rsid w:val="1A3A7912"/>
    <w:rsid w:val="1A3B3641"/>
    <w:rsid w:val="1A6C5302"/>
    <w:rsid w:val="1A8727FB"/>
    <w:rsid w:val="1A97653D"/>
    <w:rsid w:val="1AC41410"/>
    <w:rsid w:val="1B50001D"/>
    <w:rsid w:val="1B7A70BB"/>
    <w:rsid w:val="1B896C63"/>
    <w:rsid w:val="1C071CD8"/>
    <w:rsid w:val="1C1810C5"/>
    <w:rsid w:val="1C1C6F0B"/>
    <w:rsid w:val="1CF267D6"/>
    <w:rsid w:val="1D457DE3"/>
    <w:rsid w:val="1D96298D"/>
    <w:rsid w:val="1DD027FD"/>
    <w:rsid w:val="1DE72D7D"/>
    <w:rsid w:val="1E0B700E"/>
    <w:rsid w:val="1E2B6112"/>
    <w:rsid w:val="1E802C2D"/>
    <w:rsid w:val="1E98489E"/>
    <w:rsid w:val="1E991563"/>
    <w:rsid w:val="1F0C1999"/>
    <w:rsid w:val="1F645D37"/>
    <w:rsid w:val="20065ACF"/>
    <w:rsid w:val="202B6D32"/>
    <w:rsid w:val="203B1A63"/>
    <w:rsid w:val="2051752A"/>
    <w:rsid w:val="20A406EC"/>
    <w:rsid w:val="20B36660"/>
    <w:rsid w:val="20DB1DE1"/>
    <w:rsid w:val="210C7447"/>
    <w:rsid w:val="21202410"/>
    <w:rsid w:val="21FB43BA"/>
    <w:rsid w:val="22111134"/>
    <w:rsid w:val="226657F9"/>
    <w:rsid w:val="229053BA"/>
    <w:rsid w:val="22914F9A"/>
    <w:rsid w:val="22B95839"/>
    <w:rsid w:val="2332796F"/>
    <w:rsid w:val="23433B61"/>
    <w:rsid w:val="235A0A76"/>
    <w:rsid w:val="23870463"/>
    <w:rsid w:val="239B3124"/>
    <w:rsid w:val="23B9111F"/>
    <w:rsid w:val="23E754F8"/>
    <w:rsid w:val="241B77CD"/>
    <w:rsid w:val="246C002A"/>
    <w:rsid w:val="24A60CDC"/>
    <w:rsid w:val="24D713C9"/>
    <w:rsid w:val="24DA0197"/>
    <w:rsid w:val="25180026"/>
    <w:rsid w:val="25303A71"/>
    <w:rsid w:val="256567FA"/>
    <w:rsid w:val="25A54680"/>
    <w:rsid w:val="25E55BF9"/>
    <w:rsid w:val="26AB0571"/>
    <w:rsid w:val="27111C8D"/>
    <w:rsid w:val="271E18E5"/>
    <w:rsid w:val="2737667B"/>
    <w:rsid w:val="2862603D"/>
    <w:rsid w:val="287F0140"/>
    <w:rsid w:val="28DE2413"/>
    <w:rsid w:val="29657DAA"/>
    <w:rsid w:val="297B5906"/>
    <w:rsid w:val="297E7514"/>
    <w:rsid w:val="29A5461E"/>
    <w:rsid w:val="2A1A658F"/>
    <w:rsid w:val="2A1D4BC4"/>
    <w:rsid w:val="2A5D63C9"/>
    <w:rsid w:val="2AF36BEA"/>
    <w:rsid w:val="2B327A7F"/>
    <w:rsid w:val="2B6B391C"/>
    <w:rsid w:val="2B760814"/>
    <w:rsid w:val="2BD107B7"/>
    <w:rsid w:val="2CA23090"/>
    <w:rsid w:val="2CA71852"/>
    <w:rsid w:val="2CBB52D5"/>
    <w:rsid w:val="2D2C7629"/>
    <w:rsid w:val="2D8507F4"/>
    <w:rsid w:val="2DAD2002"/>
    <w:rsid w:val="2DD34E0B"/>
    <w:rsid w:val="2DD3595C"/>
    <w:rsid w:val="2DDB0F28"/>
    <w:rsid w:val="2F3875B9"/>
    <w:rsid w:val="2F63694C"/>
    <w:rsid w:val="2F9A2FD4"/>
    <w:rsid w:val="30AA3355"/>
    <w:rsid w:val="30B77A0F"/>
    <w:rsid w:val="30D555EF"/>
    <w:rsid w:val="31006324"/>
    <w:rsid w:val="3183005D"/>
    <w:rsid w:val="31A05AB9"/>
    <w:rsid w:val="31E60531"/>
    <w:rsid w:val="327A2560"/>
    <w:rsid w:val="32C554FA"/>
    <w:rsid w:val="32CF02A0"/>
    <w:rsid w:val="33431D37"/>
    <w:rsid w:val="335D701C"/>
    <w:rsid w:val="33A34F36"/>
    <w:rsid w:val="33E80FFD"/>
    <w:rsid w:val="340401EA"/>
    <w:rsid w:val="341A7ED7"/>
    <w:rsid w:val="34B61387"/>
    <w:rsid w:val="34E17614"/>
    <w:rsid w:val="354C779E"/>
    <w:rsid w:val="3555017F"/>
    <w:rsid w:val="35740BDF"/>
    <w:rsid w:val="361E6145"/>
    <w:rsid w:val="362035F4"/>
    <w:rsid w:val="362E72C3"/>
    <w:rsid w:val="362F06EF"/>
    <w:rsid w:val="36550712"/>
    <w:rsid w:val="36D6546B"/>
    <w:rsid w:val="36E2034E"/>
    <w:rsid w:val="37233ED9"/>
    <w:rsid w:val="37237696"/>
    <w:rsid w:val="37350D72"/>
    <w:rsid w:val="376F398D"/>
    <w:rsid w:val="378A454B"/>
    <w:rsid w:val="379D6356"/>
    <w:rsid w:val="380A311E"/>
    <w:rsid w:val="38E8362D"/>
    <w:rsid w:val="38F47891"/>
    <w:rsid w:val="38FF303E"/>
    <w:rsid w:val="393E0967"/>
    <w:rsid w:val="3946194B"/>
    <w:rsid w:val="39DC5201"/>
    <w:rsid w:val="39E1366F"/>
    <w:rsid w:val="39FB6880"/>
    <w:rsid w:val="3A2C0C30"/>
    <w:rsid w:val="3A87362B"/>
    <w:rsid w:val="3ADA1B05"/>
    <w:rsid w:val="3B4D6097"/>
    <w:rsid w:val="3B696FA1"/>
    <w:rsid w:val="3BBF5EA8"/>
    <w:rsid w:val="3C3B754E"/>
    <w:rsid w:val="3D352938"/>
    <w:rsid w:val="3D3620D1"/>
    <w:rsid w:val="3D4F1521"/>
    <w:rsid w:val="3E075559"/>
    <w:rsid w:val="3FAF7677"/>
    <w:rsid w:val="3FFA0EA7"/>
    <w:rsid w:val="4013548A"/>
    <w:rsid w:val="4018448F"/>
    <w:rsid w:val="40744533"/>
    <w:rsid w:val="40A11A4E"/>
    <w:rsid w:val="40B51DD7"/>
    <w:rsid w:val="4115677C"/>
    <w:rsid w:val="41162149"/>
    <w:rsid w:val="414E416A"/>
    <w:rsid w:val="416814EB"/>
    <w:rsid w:val="41796A21"/>
    <w:rsid w:val="42392B97"/>
    <w:rsid w:val="430730C0"/>
    <w:rsid w:val="430B6F89"/>
    <w:rsid w:val="43182B7E"/>
    <w:rsid w:val="43392757"/>
    <w:rsid w:val="434D63CB"/>
    <w:rsid w:val="43692A57"/>
    <w:rsid w:val="43724B5A"/>
    <w:rsid w:val="44125551"/>
    <w:rsid w:val="443250B1"/>
    <w:rsid w:val="4444446F"/>
    <w:rsid w:val="445E7EBD"/>
    <w:rsid w:val="449A5F4E"/>
    <w:rsid w:val="44AC771E"/>
    <w:rsid w:val="44B72C17"/>
    <w:rsid w:val="451957B2"/>
    <w:rsid w:val="45391E3F"/>
    <w:rsid w:val="457E3993"/>
    <w:rsid w:val="45A1222F"/>
    <w:rsid w:val="45FF5766"/>
    <w:rsid w:val="4619067F"/>
    <w:rsid w:val="461D750B"/>
    <w:rsid w:val="46DC6FB4"/>
    <w:rsid w:val="46FF2F3A"/>
    <w:rsid w:val="47016828"/>
    <w:rsid w:val="47486B57"/>
    <w:rsid w:val="47DF1BAC"/>
    <w:rsid w:val="47E0202D"/>
    <w:rsid w:val="480F646A"/>
    <w:rsid w:val="48504926"/>
    <w:rsid w:val="48623D1A"/>
    <w:rsid w:val="489B7CBB"/>
    <w:rsid w:val="48E324A0"/>
    <w:rsid w:val="49AA7D52"/>
    <w:rsid w:val="4A0D57D7"/>
    <w:rsid w:val="4A9262CD"/>
    <w:rsid w:val="4A954442"/>
    <w:rsid w:val="4AA20D6C"/>
    <w:rsid w:val="4AB118EF"/>
    <w:rsid w:val="4AC91DE8"/>
    <w:rsid w:val="4B413D5C"/>
    <w:rsid w:val="4BB23E30"/>
    <w:rsid w:val="4BDA62A6"/>
    <w:rsid w:val="4BF10A61"/>
    <w:rsid w:val="4C510408"/>
    <w:rsid w:val="4C9915AA"/>
    <w:rsid w:val="4CB7717D"/>
    <w:rsid w:val="4CFE05AC"/>
    <w:rsid w:val="4D1C2F8C"/>
    <w:rsid w:val="4D965FF8"/>
    <w:rsid w:val="4DC828A7"/>
    <w:rsid w:val="4DD65B3E"/>
    <w:rsid w:val="4E172F48"/>
    <w:rsid w:val="4E451C19"/>
    <w:rsid w:val="4E596B2E"/>
    <w:rsid w:val="4E8749BE"/>
    <w:rsid w:val="4E9B78E6"/>
    <w:rsid w:val="4F266963"/>
    <w:rsid w:val="4F457F7A"/>
    <w:rsid w:val="4FCD250E"/>
    <w:rsid w:val="4FE76E89"/>
    <w:rsid w:val="50034297"/>
    <w:rsid w:val="50312A85"/>
    <w:rsid w:val="505C7C67"/>
    <w:rsid w:val="510A63B5"/>
    <w:rsid w:val="51397425"/>
    <w:rsid w:val="51441D07"/>
    <w:rsid w:val="51510DEA"/>
    <w:rsid w:val="516869C6"/>
    <w:rsid w:val="517F6B78"/>
    <w:rsid w:val="51AE6E4D"/>
    <w:rsid w:val="51D47D0B"/>
    <w:rsid w:val="51E251BB"/>
    <w:rsid w:val="51EC6E96"/>
    <w:rsid w:val="5215216A"/>
    <w:rsid w:val="521535AA"/>
    <w:rsid w:val="527202ED"/>
    <w:rsid w:val="528814AE"/>
    <w:rsid w:val="531919FA"/>
    <w:rsid w:val="535D6220"/>
    <w:rsid w:val="536E1E3C"/>
    <w:rsid w:val="536E4814"/>
    <w:rsid w:val="53D5738F"/>
    <w:rsid w:val="53E36BAE"/>
    <w:rsid w:val="53E40EFA"/>
    <w:rsid w:val="547752B8"/>
    <w:rsid w:val="555C51AC"/>
    <w:rsid w:val="55A3682A"/>
    <w:rsid w:val="55DF6BFB"/>
    <w:rsid w:val="5610245D"/>
    <w:rsid w:val="565C16D1"/>
    <w:rsid w:val="56A03F1A"/>
    <w:rsid w:val="56CC5A0F"/>
    <w:rsid w:val="56E82ED9"/>
    <w:rsid w:val="571B2003"/>
    <w:rsid w:val="57301152"/>
    <w:rsid w:val="575B60B1"/>
    <w:rsid w:val="58695B5D"/>
    <w:rsid w:val="5871614B"/>
    <w:rsid w:val="58D2461A"/>
    <w:rsid w:val="58EC21B1"/>
    <w:rsid w:val="595C7C6B"/>
    <w:rsid w:val="59B97E6B"/>
    <w:rsid w:val="59D43BE8"/>
    <w:rsid w:val="59F82DC2"/>
    <w:rsid w:val="5A6C436D"/>
    <w:rsid w:val="5AD76927"/>
    <w:rsid w:val="5B3D2019"/>
    <w:rsid w:val="5C41428C"/>
    <w:rsid w:val="5C78157A"/>
    <w:rsid w:val="5CBE257B"/>
    <w:rsid w:val="5CE8716F"/>
    <w:rsid w:val="5CEA3A40"/>
    <w:rsid w:val="5D05238C"/>
    <w:rsid w:val="5D585BA2"/>
    <w:rsid w:val="5D815F3C"/>
    <w:rsid w:val="5D8B5D23"/>
    <w:rsid w:val="5E314012"/>
    <w:rsid w:val="5EBA1746"/>
    <w:rsid w:val="5EF3567E"/>
    <w:rsid w:val="5FA91635"/>
    <w:rsid w:val="5FB23611"/>
    <w:rsid w:val="605839BA"/>
    <w:rsid w:val="605F624F"/>
    <w:rsid w:val="60D3073A"/>
    <w:rsid w:val="60DE222A"/>
    <w:rsid w:val="60E062E5"/>
    <w:rsid w:val="60E729EF"/>
    <w:rsid w:val="613412A2"/>
    <w:rsid w:val="61560E6C"/>
    <w:rsid w:val="6160364C"/>
    <w:rsid w:val="61EE14B4"/>
    <w:rsid w:val="622475CE"/>
    <w:rsid w:val="6247009B"/>
    <w:rsid w:val="62490115"/>
    <w:rsid w:val="637E464B"/>
    <w:rsid w:val="63EE61AF"/>
    <w:rsid w:val="64956B4E"/>
    <w:rsid w:val="64C740BE"/>
    <w:rsid w:val="65A10613"/>
    <w:rsid w:val="65B023FD"/>
    <w:rsid w:val="666E791A"/>
    <w:rsid w:val="66864278"/>
    <w:rsid w:val="67152B03"/>
    <w:rsid w:val="67B06806"/>
    <w:rsid w:val="67E40E2B"/>
    <w:rsid w:val="680018A2"/>
    <w:rsid w:val="68E22AA5"/>
    <w:rsid w:val="695E3EEF"/>
    <w:rsid w:val="699F2BEC"/>
    <w:rsid w:val="6A2D65B0"/>
    <w:rsid w:val="6AB67318"/>
    <w:rsid w:val="6ACB4377"/>
    <w:rsid w:val="6AD059E6"/>
    <w:rsid w:val="6AD85F61"/>
    <w:rsid w:val="6B4A1E6D"/>
    <w:rsid w:val="6B865E92"/>
    <w:rsid w:val="6BC5239A"/>
    <w:rsid w:val="6C6D72DC"/>
    <w:rsid w:val="6CAF27AF"/>
    <w:rsid w:val="6CC153F7"/>
    <w:rsid w:val="6D075EC3"/>
    <w:rsid w:val="6D0B47A6"/>
    <w:rsid w:val="6D333752"/>
    <w:rsid w:val="6D3A08EC"/>
    <w:rsid w:val="6D43225C"/>
    <w:rsid w:val="6D6C31D4"/>
    <w:rsid w:val="6D991B48"/>
    <w:rsid w:val="6ED01588"/>
    <w:rsid w:val="6ED17B0B"/>
    <w:rsid w:val="6EFF47A9"/>
    <w:rsid w:val="6F4B377E"/>
    <w:rsid w:val="6FE115C7"/>
    <w:rsid w:val="702969BE"/>
    <w:rsid w:val="705214C2"/>
    <w:rsid w:val="70627084"/>
    <w:rsid w:val="711E598A"/>
    <w:rsid w:val="712A1CD9"/>
    <w:rsid w:val="71842735"/>
    <w:rsid w:val="71A5165D"/>
    <w:rsid w:val="71C264CA"/>
    <w:rsid w:val="71EB321B"/>
    <w:rsid w:val="71FB0ADA"/>
    <w:rsid w:val="727F73EF"/>
    <w:rsid w:val="72AE5AAE"/>
    <w:rsid w:val="72FC29CC"/>
    <w:rsid w:val="73F71479"/>
    <w:rsid w:val="74C11D32"/>
    <w:rsid w:val="74C17AD4"/>
    <w:rsid w:val="751562B1"/>
    <w:rsid w:val="753D27B0"/>
    <w:rsid w:val="75514B87"/>
    <w:rsid w:val="75697671"/>
    <w:rsid w:val="758972B4"/>
    <w:rsid w:val="761758C5"/>
    <w:rsid w:val="764F4EB1"/>
    <w:rsid w:val="767A0944"/>
    <w:rsid w:val="77161071"/>
    <w:rsid w:val="772C0399"/>
    <w:rsid w:val="77356C44"/>
    <w:rsid w:val="78403B27"/>
    <w:rsid w:val="784D21A9"/>
    <w:rsid w:val="78B2491E"/>
    <w:rsid w:val="78B31ABC"/>
    <w:rsid w:val="790A411F"/>
    <w:rsid w:val="791D6DC5"/>
    <w:rsid w:val="79696730"/>
    <w:rsid w:val="799A35CA"/>
    <w:rsid w:val="79AD0A62"/>
    <w:rsid w:val="79D83FED"/>
    <w:rsid w:val="7A052603"/>
    <w:rsid w:val="7B277620"/>
    <w:rsid w:val="7B4269E8"/>
    <w:rsid w:val="7B8C23CE"/>
    <w:rsid w:val="7BA14D9D"/>
    <w:rsid w:val="7BC66B0C"/>
    <w:rsid w:val="7BEE5358"/>
    <w:rsid w:val="7C0A46D6"/>
    <w:rsid w:val="7C1A2A56"/>
    <w:rsid w:val="7C7960D3"/>
    <w:rsid w:val="7CA3553C"/>
    <w:rsid w:val="7D397D94"/>
    <w:rsid w:val="7D6F00EE"/>
    <w:rsid w:val="7DA12AA5"/>
    <w:rsid w:val="7DDC7717"/>
    <w:rsid w:val="7E7869DB"/>
    <w:rsid w:val="7EC7184E"/>
    <w:rsid w:val="7F1337D0"/>
    <w:rsid w:val="7F9B243E"/>
    <w:rsid w:val="7FC753F1"/>
    <w:rsid w:val="7FEA61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黑体"/>
      <w:kern w:val="2"/>
      <w:sz w:val="21"/>
      <w:szCs w:val="22"/>
      <w:lang w:val="en-US" w:eastAsia="zh-CN" w:bidi="ar-SA"/>
    </w:rPr>
  </w:style>
  <w:style w:type="paragraph" w:styleId="4">
    <w:name w:val="heading 1"/>
    <w:basedOn w:val="1"/>
    <w:next w:val="1"/>
    <w:link w:val="31"/>
    <w:qFormat/>
    <w:uiPriority w:val="99"/>
    <w:pPr>
      <w:keepNext/>
      <w:keepLines/>
      <w:spacing w:before="340" w:after="330" w:line="576" w:lineRule="auto"/>
      <w:outlineLvl w:val="0"/>
    </w:pPr>
    <w:rPr>
      <w:b/>
      <w:kern w:val="44"/>
      <w:sz w:val="44"/>
    </w:rPr>
  </w:style>
  <w:style w:type="paragraph" w:styleId="5">
    <w:name w:val="heading 2"/>
    <w:basedOn w:val="1"/>
    <w:next w:val="1"/>
    <w:link w:val="32"/>
    <w:unhideWhenUsed/>
    <w:qFormat/>
    <w:uiPriority w:val="99"/>
    <w:pPr>
      <w:keepNext/>
      <w:keepLines/>
      <w:spacing w:before="260" w:after="260" w:line="416" w:lineRule="auto"/>
      <w:outlineLvl w:val="1"/>
    </w:pPr>
    <w:rPr>
      <w:rFonts w:ascii="等线 Light" w:hAnsi="等线 Light" w:eastAsia="等线 Light"/>
      <w:b/>
      <w:bCs/>
      <w:sz w:val="32"/>
      <w:szCs w:val="32"/>
    </w:rPr>
  </w:style>
  <w:style w:type="paragraph" w:styleId="6">
    <w:name w:val="heading 3"/>
    <w:basedOn w:val="1"/>
    <w:next w:val="1"/>
    <w:unhideWhenUsed/>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line="376" w:lineRule="atLeast"/>
      <w:ind w:firstLine="602"/>
      <w:outlineLvl w:val="3"/>
    </w:pPr>
    <w:rPr>
      <w:rFonts w:ascii="仿宋_GB2312" w:hAnsi="Cambria"/>
      <w:b/>
      <w:bCs/>
      <w:color w:val="000000"/>
      <w:sz w:val="30"/>
    </w:rPr>
  </w:style>
  <w:style w:type="character" w:default="1" w:styleId="26">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left="0" w:firstLine="420"/>
    </w:pPr>
    <w:rPr>
      <w:rFonts w:ascii="仿宋_GB2312" w:eastAsia="仿宋_GB2312" w:cs="仿宋_GB2312"/>
      <w:sz w:val="32"/>
      <w:szCs w:val="32"/>
    </w:rPr>
  </w:style>
  <w:style w:type="paragraph" w:styleId="3">
    <w:name w:val="Body Text Indent"/>
    <w:basedOn w:val="1"/>
    <w:next w:val="1"/>
    <w:unhideWhenUsed/>
    <w:qFormat/>
    <w:uiPriority w:val="99"/>
    <w:pPr>
      <w:spacing w:after="120"/>
      <w:ind w:left="420"/>
    </w:pPr>
    <w:rPr>
      <w:rFonts w:ascii="Calibri" w:hAnsi="Calibri" w:eastAsia="宋体" w:cs="Times New Roman"/>
    </w:rPr>
  </w:style>
  <w:style w:type="paragraph" w:styleId="8">
    <w:name w:val="toc 7"/>
    <w:basedOn w:val="1"/>
    <w:next w:val="1"/>
    <w:unhideWhenUsed/>
    <w:qFormat/>
    <w:uiPriority w:val="39"/>
    <w:pPr>
      <w:ind w:left="2520" w:leftChars="1200"/>
    </w:pPr>
    <w:rPr>
      <w:rFonts w:asciiTheme="minorHAnsi" w:hAnsiTheme="minorHAnsi" w:eastAsiaTheme="minorEastAsia" w:cstheme="minorBidi"/>
    </w:rPr>
  </w:style>
  <w:style w:type="paragraph" w:styleId="9">
    <w:name w:val="Document Map"/>
    <w:basedOn w:val="1"/>
    <w:link w:val="33"/>
    <w:qFormat/>
    <w:uiPriority w:val="0"/>
    <w:rPr>
      <w:rFonts w:ascii="宋体" w:eastAsia="宋体"/>
      <w:sz w:val="18"/>
      <w:szCs w:val="18"/>
    </w:rPr>
  </w:style>
  <w:style w:type="paragraph" w:styleId="10">
    <w:name w:val="Body Text"/>
    <w:basedOn w:val="1"/>
    <w:next w:val="11"/>
    <w:qFormat/>
    <w:uiPriority w:val="0"/>
    <w:pPr>
      <w:spacing w:line="480" w:lineRule="exact"/>
    </w:pPr>
    <w:rPr>
      <w:rFonts w:hAnsi="宋体"/>
    </w:rPr>
  </w:style>
  <w:style w:type="paragraph" w:styleId="11">
    <w:name w:val="header"/>
    <w:basedOn w:val="1"/>
    <w:next w:val="1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2">
    <w:name w:val="_Style 4"/>
    <w:basedOn w:val="1"/>
    <w:next w:val="1"/>
    <w:qFormat/>
    <w:uiPriority w:val="99"/>
    <w:pPr>
      <w:widowControl/>
      <w:wordWrap w:val="0"/>
      <w:spacing w:before="200" w:after="160"/>
      <w:ind w:left="864" w:right="864"/>
      <w:jc w:val="center"/>
    </w:pPr>
    <w:rPr>
      <w:rFonts w:ascii="宋体"/>
      <w:i/>
      <w:color w:val="404040"/>
    </w:rPr>
  </w:style>
  <w:style w:type="paragraph" w:styleId="13">
    <w:name w:val="toc 5"/>
    <w:basedOn w:val="1"/>
    <w:next w:val="1"/>
    <w:unhideWhenUsed/>
    <w:qFormat/>
    <w:uiPriority w:val="39"/>
    <w:pPr>
      <w:ind w:left="1680" w:leftChars="800"/>
    </w:pPr>
    <w:rPr>
      <w:rFonts w:asciiTheme="minorHAnsi" w:hAnsiTheme="minorHAnsi" w:eastAsiaTheme="minorEastAsia" w:cstheme="minorBidi"/>
    </w:rPr>
  </w:style>
  <w:style w:type="paragraph" w:styleId="14">
    <w:name w:val="toc 3"/>
    <w:basedOn w:val="1"/>
    <w:next w:val="1"/>
    <w:qFormat/>
    <w:uiPriority w:val="39"/>
    <w:pPr>
      <w:ind w:left="840" w:leftChars="400"/>
    </w:pPr>
    <w:rPr>
      <w:rFonts w:asciiTheme="minorHAnsi" w:hAnsiTheme="minorHAnsi" w:eastAsiaTheme="minorEastAsia" w:cstheme="minorBidi"/>
    </w:rPr>
  </w:style>
  <w:style w:type="paragraph" w:styleId="15">
    <w:name w:val="toc 8"/>
    <w:basedOn w:val="1"/>
    <w:next w:val="1"/>
    <w:unhideWhenUsed/>
    <w:qFormat/>
    <w:uiPriority w:val="39"/>
    <w:pPr>
      <w:ind w:left="2940" w:leftChars="1400"/>
    </w:pPr>
    <w:rPr>
      <w:rFonts w:asciiTheme="minorHAnsi" w:hAnsiTheme="minorHAnsi" w:eastAsiaTheme="minorEastAsia" w:cstheme="minorBidi"/>
    </w:rPr>
  </w:style>
  <w:style w:type="paragraph" w:styleId="16">
    <w:name w:val="Balloon Text"/>
    <w:basedOn w:val="1"/>
    <w:link w:val="34"/>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rPr>
  </w:style>
  <w:style w:type="paragraph" w:styleId="18">
    <w:name w:val="toc 1"/>
    <w:basedOn w:val="1"/>
    <w:next w:val="1"/>
    <w:qFormat/>
    <w:uiPriority w:val="39"/>
  </w:style>
  <w:style w:type="paragraph" w:styleId="19">
    <w:name w:val="toc 4"/>
    <w:basedOn w:val="1"/>
    <w:next w:val="1"/>
    <w:unhideWhenUsed/>
    <w:qFormat/>
    <w:uiPriority w:val="39"/>
    <w:pPr>
      <w:ind w:left="1260" w:leftChars="600"/>
    </w:pPr>
    <w:rPr>
      <w:rFonts w:asciiTheme="minorHAnsi" w:hAnsiTheme="minorHAnsi" w:eastAsiaTheme="minorEastAsia" w:cstheme="minorBidi"/>
    </w:rPr>
  </w:style>
  <w:style w:type="paragraph" w:styleId="20">
    <w:name w:val="toc 6"/>
    <w:basedOn w:val="1"/>
    <w:next w:val="1"/>
    <w:unhideWhenUsed/>
    <w:qFormat/>
    <w:uiPriority w:val="39"/>
    <w:pPr>
      <w:ind w:left="2100" w:leftChars="1000"/>
    </w:pPr>
    <w:rPr>
      <w:rFonts w:asciiTheme="minorHAnsi" w:hAnsiTheme="minorHAnsi" w:eastAsiaTheme="minorEastAsia" w:cstheme="minorBidi"/>
    </w:rPr>
  </w:style>
  <w:style w:type="paragraph" w:styleId="21">
    <w:name w:val="toc 2"/>
    <w:basedOn w:val="1"/>
    <w:next w:val="1"/>
    <w:qFormat/>
    <w:uiPriority w:val="39"/>
    <w:pPr>
      <w:ind w:left="420" w:leftChars="200"/>
    </w:pPr>
  </w:style>
  <w:style w:type="paragraph" w:styleId="22">
    <w:name w:val="toc 9"/>
    <w:basedOn w:val="1"/>
    <w:next w:val="1"/>
    <w:unhideWhenUsed/>
    <w:qFormat/>
    <w:uiPriority w:val="39"/>
    <w:pPr>
      <w:ind w:left="3360" w:leftChars="1600"/>
    </w:pPr>
    <w:rPr>
      <w:rFonts w:asciiTheme="minorHAnsi" w:hAnsiTheme="minorHAnsi" w:eastAsiaTheme="minorEastAsia" w:cstheme="minorBidi"/>
    </w:rPr>
  </w:style>
  <w:style w:type="paragraph" w:styleId="2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4">
    <w:name w:val="Title"/>
    <w:basedOn w:val="1"/>
    <w:qFormat/>
    <w:uiPriority w:val="99"/>
    <w:pPr>
      <w:spacing w:before="240" w:after="60"/>
      <w:jc w:val="center"/>
      <w:outlineLvl w:val="0"/>
    </w:pPr>
    <w:rPr>
      <w:rFonts w:ascii="Arial" w:hAnsi="Arial" w:cs="Arial"/>
      <w:b/>
      <w:bCs/>
      <w:sz w:val="32"/>
      <w:szCs w:val="32"/>
    </w:rPr>
  </w:style>
  <w:style w:type="character" w:styleId="27">
    <w:name w:val="Strong"/>
    <w:basedOn w:val="26"/>
    <w:qFormat/>
    <w:uiPriority w:val="22"/>
    <w:rPr>
      <w:b/>
      <w:bCs/>
    </w:rPr>
  </w:style>
  <w:style w:type="character" w:styleId="28">
    <w:name w:val="FollowedHyperlink"/>
    <w:basedOn w:val="26"/>
    <w:qFormat/>
    <w:uiPriority w:val="0"/>
    <w:rPr>
      <w:color w:val="0F0F0F"/>
      <w:u w:val="none"/>
    </w:rPr>
  </w:style>
  <w:style w:type="character" w:styleId="29">
    <w:name w:val="Emphasis"/>
    <w:basedOn w:val="26"/>
    <w:qFormat/>
    <w:uiPriority w:val="0"/>
  </w:style>
  <w:style w:type="character" w:styleId="30">
    <w:name w:val="Hyperlink"/>
    <w:basedOn w:val="26"/>
    <w:qFormat/>
    <w:uiPriority w:val="99"/>
    <w:rPr>
      <w:color w:val="0000FF"/>
      <w:u w:val="single"/>
    </w:rPr>
  </w:style>
  <w:style w:type="character" w:customStyle="1" w:styleId="31">
    <w:name w:val="标题 1 字符"/>
    <w:link w:val="4"/>
    <w:qFormat/>
    <w:locked/>
    <w:uiPriority w:val="99"/>
    <w:rPr>
      <w:rFonts w:ascii="等线" w:hAnsi="等线" w:eastAsia="黑体" w:cs="黑体"/>
      <w:bCs/>
      <w:kern w:val="44"/>
      <w:sz w:val="44"/>
      <w:szCs w:val="44"/>
    </w:rPr>
  </w:style>
  <w:style w:type="character" w:customStyle="1" w:styleId="32">
    <w:name w:val="标题 2 字符"/>
    <w:link w:val="5"/>
    <w:qFormat/>
    <w:uiPriority w:val="99"/>
    <w:rPr>
      <w:rFonts w:ascii="等线 Light" w:hAnsi="等线 Light" w:eastAsia="等线 Light"/>
      <w:b/>
      <w:bCs/>
      <w:sz w:val="32"/>
      <w:szCs w:val="32"/>
    </w:rPr>
  </w:style>
  <w:style w:type="character" w:customStyle="1" w:styleId="33">
    <w:name w:val="文档结构图 字符"/>
    <w:basedOn w:val="26"/>
    <w:link w:val="9"/>
    <w:qFormat/>
    <w:uiPriority w:val="0"/>
    <w:rPr>
      <w:rFonts w:ascii="宋体" w:eastAsia="宋体" w:cs="黑体"/>
      <w:kern w:val="2"/>
      <w:sz w:val="18"/>
      <w:szCs w:val="18"/>
    </w:rPr>
  </w:style>
  <w:style w:type="character" w:customStyle="1" w:styleId="34">
    <w:name w:val="批注框文本 字符"/>
    <w:basedOn w:val="26"/>
    <w:link w:val="16"/>
    <w:qFormat/>
    <w:uiPriority w:val="0"/>
    <w:rPr>
      <w:rFonts w:ascii="等线" w:hAnsi="等线" w:eastAsia="等线" w:cs="黑体"/>
      <w:kern w:val="2"/>
      <w:sz w:val="18"/>
      <w:szCs w:val="18"/>
    </w:rPr>
  </w:style>
  <w:style w:type="paragraph" w:customStyle="1" w:styleId="35">
    <w:name w:val="标题3"/>
    <w:basedOn w:val="1"/>
    <w:qFormat/>
    <w:uiPriority w:val="0"/>
    <w:pPr>
      <w:spacing w:beforeLines="50" w:afterLines="50" w:line="560" w:lineRule="exact"/>
      <w:ind w:firstLine="200" w:firstLineChars="200"/>
      <w:outlineLvl w:val="1"/>
    </w:pPr>
    <w:rPr>
      <w:rFonts w:ascii="仿宋_GB2312" w:hAnsi="宋体" w:eastAsia="仿宋_GB2312" w:cs="宋体"/>
      <w:b/>
      <w:bCs/>
      <w:color w:val="333333"/>
      <w:kern w:val="0"/>
      <w:sz w:val="32"/>
      <w:szCs w:val="30"/>
    </w:rPr>
  </w:style>
  <w:style w:type="character" w:customStyle="1" w:styleId="36">
    <w:name w:val="one"/>
    <w:basedOn w:val="26"/>
    <w:qFormat/>
    <w:uiPriority w:val="0"/>
    <w:rPr>
      <w:color w:val="003366"/>
    </w:rPr>
  </w:style>
  <w:style w:type="character" w:customStyle="1" w:styleId="37">
    <w:name w:val="disabled"/>
    <w:basedOn w:val="26"/>
    <w:qFormat/>
    <w:uiPriority w:val="0"/>
    <w:rPr>
      <w:shd w:val="clear" w:color="auto" w:fill="F2F2F2"/>
    </w:rPr>
  </w:style>
  <w:style w:type="paragraph" w:customStyle="1" w:styleId="38">
    <w:name w:val="WPSOffice手动目录 1"/>
    <w:qFormat/>
    <w:uiPriority w:val="0"/>
    <w:rPr>
      <w:rFonts w:asciiTheme="minorHAnsi" w:hAnsiTheme="minorHAnsi" w:eastAsiaTheme="minorEastAsia" w:cstheme="minorBidi"/>
      <w:lang w:val="en-US" w:eastAsia="zh-CN" w:bidi="ar-SA"/>
    </w:rPr>
  </w:style>
  <w:style w:type="paragraph" w:customStyle="1" w:styleId="39">
    <w:name w:val="WPSOffice手动目录 2"/>
    <w:qFormat/>
    <w:uiPriority w:val="0"/>
    <w:pPr>
      <w:ind w:left="200" w:leftChars="200"/>
    </w:pPr>
    <w:rPr>
      <w:rFonts w:asciiTheme="minorHAnsi" w:hAnsiTheme="minorHAnsi" w:eastAsiaTheme="minorEastAsia" w:cstheme="minorBidi"/>
      <w:lang w:val="en-US" w:eastAsia="zh-CN" w:bidi="ar-SA"/>
    </w:rPr>
  </w:style>
  <w:style w:type="character" w:customStyle="1" w:styleId="40">
    <w:name w:val="NormalCharacter"/>
    <w:semiHidden/>
    <w:qFormat/>
    <w:uiPriority w:val="0"/>
  </w:style>
  <w:style w:type="paragraph" w:styleId="41">
    <w:name w:val="List Paragraph"/>
    <w:basedOn w:val="1"/>
    <w:qFormat/>
    <w:uiPriority w:val="34"/>
    <w:pPr>
      <w:ind w:firstLine="420" w:firstLineChars="200"/>
    </w:pPr>
  </w:style>
  <w:style w:type="character" w:customStyle="1" w:styleId="42">
    <w:name w:val="标题 1 Char"/>
    <w:basedOn w:val="26"/>
    <w:qFormat/>
    <w:uiPriority w:val="99"/>
    <w:rPr>
      <w:rFonts w:ascii="等线" w:hAnsi="等线" w:eastAsia="等线" w:cs="黑体"/>
      <w:b/>
      <w:kern w:val="44"/>
      <w:sz w:val="44"/>
      <w:szCs w:val="22"/>
    </w:rPr>
  </w:style>
  <w:style w:type="paragraph" w:customStyle="1" w:styleId="43">
    <w:name w:val="UserStyle_0"/>
    <w:qFormat/>
    <w:uiPriority w:val="0"/>
    <w:pPr>
      <w:textAlignment w:val="baseline"/>
    </w:pPr>
    <w:rPr>
      <w:rFonts w:ascii="仿宋_GB2312" w:hAnsi="Times New Roman" w:eastAsia="仿宋_GB2312" w:cs="Times New Roman"/>
      <w:color w:val="000000"/>
      <w:sz w:val="24"/>
      <w:szCs w:val="24"/>
      <w:lang w:val="en-US" w:eastAsia="zh-CN" w:bidi="ar-SA"/>
    </w:rPr>
  </w:style>
  <w:style w:type="character" w:customStyle="1" w:styleId="44">
    <w:name w:val="fontstyle41"/>
    <w:basedOn w:val="26"/>
    <w:qFormat/>
    <w:uiPriority w:val="99"/>
    <w:rPr>
      <w:rFonts w:hint="eastAsia" w:ascii="黑体" w:hAnsi="宋体" w:eastAsia="黑体" w:cs="黑体"/>
      <w:color w:val="000000"/>
      <w:sz w:val="28"/>
      <w:szCs w:val="28"/>
    </w:rPr>
  </w:style>
  <w:style w:type="paragraph" w:customStyle="1" w:styleId="45">
    <w:name w:val="Default"/>
    <w:qFormat/>
    <w:uiPriority w:val="99"/>
    <w:pPr>
      <w:widowControl w:val="0"/>
      <w:autoSpaceDE w:val="0"/>
      <w:autoSpaceDN w:val="0"/>
      <w:adjustRightInd w:val="0"/>
    </w:pPr>
    <w:rPr>
      <w:rFonts w:ascii="黑体" w:hAnsi="黑体" w:eastAsia="宋体" w:cs="黑体"/>
      <w:color w:val="000000"/>
      <w:sz w:val="24"/>
      <w:szCs w:val="24"/>
      <w:lang w:val="en-US" w:eastAsia="zh-CN" w:bidi="ar-SA"/>
    </w:rPr>
  </w:style>
  <w:style w:type="paragraph" w:customStyle="1" w:styleId="46">
    <w:name w:val="无间隔1"/>
    <w:qFormat/>
    <w:uiPriority w:val="99"/>
    <w:pPr>
      <w:widowControl w:val="0"/>
      <w:spacing w:line="600" w:lineRule="exact"/>
      <w:ind w:firstLine="200" w:firstLineChars="200"/>
      <w:jc w:val="both"/>
    </w:pPr>
    <w:rPr>
      <w:rFonts w:ascii="Calibri" w:hAnsi="Calibri" w:eastAsia="仿宋_GB2312" w:cs="Times New Roman"/>
      <w:kern w:val="2"/>
      <w:sz w:val="32"/>
      <w:szCs w:val="22"/>
      <w:lang w:val="en-US" w:eastAsia="zh-CN" w:bidi="ar-SA"/>
    </w:rPr>
  </w:style>
  <w:style w:type="paragraph" w:customStyle="1" w:styleId="47">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48">
    <w:name w:val="未处理的提及1"/>
    <w:basedOn w:val="2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98087F-F0DF-4802-8D43-600DF8E8C692}">
  <ds:schemaRefs/>
</ds:datastoreItem>
</file>

<file path=docProps/app.xml><?xml version="1.0" encoding="utf-8"?>
<Properties xmlns="http://schemas.openxmlformats.org/officeDocument/2006/extended-properties" xmlns:vt="http://schemas.openxmlformats.org/officeDocument/2006/docPropsVTypes">
  <Template>Normal</Template>
  <Company>MS</Company>
  <Pages>76</Pages>
  <Words>907</Words>
  <Characters>931</Characters>
  <Lines>355</Lines>
  <Paragraphs>100</Paragraphs>
  <TotalTime>6</TotalTime>
  <ScaleCrop>false</ScaleCrop>
  <LinksUpToDate>false</LinksUpToDate>
  <CharactersWithSpaces>1078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2020-07-30T22:30:00Z</dcterms:created>
  <dc:creator>lenovo</dc:creator>
  <cp:lastModifiedBy>杨舒捷</cp:lastModifiedBy>
  <dcterms:modified xsi:type="dcterms:W3CDTF">2026-01-16T02:40:54Z</dcterms:modified>
  <cp:revision>2019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90012290EE1E4F098C53B93A74420BE5_12</vt:lpwstr>
  </property>
  <property fmtid="{D5CDD505-2E9C-101B-9397-08002B2CF9AE}" pid="4" name="KSOTemplateDocerSaveRecord">
    <vt:lpwstr>eyJoZGlkIjoiMjVhZjFmOTY3YjRiNjFiZWE5ODRmOWRjMGJmYmU5OGUiLCJ1c2VySWQiOiIxNjQzNjY0NzI2In0=</vt:lpwstr>
  </property>
</Properties>
</file>