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03D7D">
      <w:pPr>
        <w:pStyle w:val="2"/>
        <w:numPr>
          <w:ilvl w:val="1"/>
          <w:numId w:val="0"/>
        </w:numPr>
        <w:snapToGrid w:val="0"/>
        <w:rPr>
          <w:rFonts w:hint="eastAsia" w:ascii="黑体" w:hAnsi="黑体" w:eastAsia="黑体" w:cs="黑体"/>
          <w:b/>
          <w:bCs/>
          <w:color w:val="auto"/>
          <w:sz w:val="44"/>
          <w:szCs w:val="44"/>
          <w:highlight w:val="none"/>
          <w:u w:val="none"/>
          <w:lang w:val="en-US" w:eastAsia="zh-CN" w:bidi="ar"/>
          <w14:ligatures w14:val="none"/>
        </w:rPr>
      </w:pPr>
      <w:bookmarkStart w:id="0" w:name="_Toc26269"/>
      <w:r>
        <w:rPr>
          <w:rFonts w:hint="eastAsia" w:ascii="黑体" w:hAnsi="黑体" w:eastAsia="黑体" w:cs="黑体"/>
          <w:b/>
          <w:bCs/>
          <w:color w:val="auto"/>
          <w:sz w:val="44"/>
          <w:szCs w:val="44"/>
          <w:highlight w:val="none"/>
          <w:u w:val="none"/>
          <w:lang w:val="en-US" w:eastAsia="zh-CN" w:bidi="ar"/>
          <w14:ligatures w14:val="none"/>
        </w:rPr>
        <w:t>清河县中心城区国土空间详细规划（草案）</w:t>
      </w:r>
      <w:bookmarkStart w:id="10" w:name="_GoBack"/>
      <w:bookmarkEnd w:id="10"/>
    </w:p>
    <w:p w14:paraId="47B417BA">
      <w:pPr>
        <w:rPr>
          <w:rFonts w:hint="eastAsia"/>
          <w:lang w:val="en-US" w:eastAsia="zh-CN"/>
        </w:rPr>
      </w:pPr>
    </w:p>
    <w:bookmarkEnd w:id="0"/>
    <w:p w14:paraId="36AB562D">
      <w:pPr>
        <w:pStyle w:val="3"/>
        <w:numPr>
          <w:ilvl w:val="2"/>
          <w:numId w:val="0"/>
        </w:numPr>
        <w:snapToGrid w:val="0"/>
        <w:ind w:firstLine="640" w:firstLineChars="200"/>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lang w:val="en-US" w:eastAsia="zh-CN"/>
        </w:rPr>
        <w:t>一、</w:t>
      </w:r>
      <w:r>
        <w:rPr>
          <w:rFonts w:hint="eastAsia" w:ascii="黑体" w:hAnsi="黑体" w:eastAsia="黑体" w:cs="黑体"/>
          <w:b w:val="0"/>
          <w:bCs/>
          <w:color w:val="auto"/>
          <w:sz w:val="32"/>
          <w:szCs w:val="32"/>
          <w:highlight w:val="none"/>
          <w:u w:val="none"/>
        </w:rPr>
        <w:t>规划范围</w:t>
      </w:r>
    </w:p>
    <w:p w14:paraId="11FF2B78">
      <w:pPr>
        <w:ind w:firstLine="640"/>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规划范围</w:t>
      </w:r>
      <w:r>
        <w:rPr>
          <w:rFonts w:hint="eastAsia" w:ascii="仿宋" w:hAnsi="仿宋" w:eastAsia="仿宋" w:cs="仿宋"/>
          <w:color w:val="auto"/>
          <w:sz w:val="28"/>
          <w:szCs w:val="21"/>
          <w:highlight w:val="none"/>
          <w:u w:val="none"/>
          <w:lang w:val="en-US" w:eastAsia="zh-CN"/>
        </w:rPr>
        <w:t>为清河县中心城区（主城区、开发区、王官庄镇区、谢炉镇区等），规划用地范围为</w:t>
      </w:r>
      <w:r>
        <w:rPr>
          <w:rFonts w:hint="eastAsia" w:ascii="仿宋" w:hAnsi="仿宋" w:eastAsia="仿宋" w:cs="仿宋"/>
          <w:bCs/>
          <w:kern w:val="2"/>
          <w:sz w:val="28"/>
          <w:szCs w:val="28"/>
          <w:highlight w:val="none"/>
          <w:lang w:val="en-US" w:eastAsia="zh-CN" w:bidi="ar"/>
        </w:rPr>
        <w:t>6523.97</w:t>
      </w:r>
      <w:r>
        <w:rPr>
          <w:rFonts w:hint="eastAsia" w:ascii="仿宋" w:hAnsi="仿宋" w:eastAsia="仿宋" w:cs="仿宋"/>
          <w:color w:val="auto"/>
          <w:sz w:val="28"/>
          <w:szCs w:val="21"/>
          <w:highlight w:val="none"/>
          <w:u w:val="none"/>
          <w:lang w:val="en-US" w:eastAsia="zh-CN"/>
        </w:rPr>
        <w:t>公顷，其中</w:t>
      </w:r>
      <w:r>
        <w:rPr>
          <w:rFonts w:hint="eastAsia" w:ascii="仿宋" w:hAnsi="仿宋" w:eastAsia="仿宋" w:cs="仿宋"/>
          <w:color w:val="auto"/>
          <w:sz w:val="28"/>
          <w:szCs w:val="21"/>
          <w:highlight w:val="none"/>
          <w:u w:val="none"/>
        </w:rPr>
        <w:t>城镇开发边界</w:t>
      </w:r>
      <w:r>
        <w:rPr>
          <w:rFonts w:hint="eastAsia" w:ascii="仿宋" w:hAnsi="仿宋" w:eastAsia="仿宋" w:cs="仿宋"/>
          <w:color w:val="auto"/>
          <w:sz w:val="28"/>
          <w:szCs w:val="21"/>
          <w:highlight w:val="none"/>
          <w:u w:val="none"/>
          <w:lang w:val="en-US" w:eastAsia="zh-CN"/>
        </w:rPr>
        <w:t>内用地范围为</w:t>
      </w:r>
      <w:r>
        <w:rPr>
          <w:rFonts w:hint="eastAsia" w:ascii="仿宋" w:hAnsi="仿宋" w:eastAsia="仿宋" w:cs="仿宋"/>
          <w:bCs/>
          <w:kern w:val="2"/>
          <w:sz w:val="28"/>
          <w:szCs w:val="28"/>
          <w:highlight w:val="none"/>
          <w:lang w:val="en-US" w:eastAsia="zh-CN" w:bidi="ar"/>
        </w:rPr>
        <w:t>5334.08</w:t>
      </w:r>
      <w:r>
        <w:rPr>
          <w:rFonts w:hint="eastAsia" w:ascii="仿宋" w:hAnsi="仿宋" w:eastAsia="仿宋" w:cs="仿宋"/>
          <w:color w:val="auto"/>
          <w:sz w:val="28"/>
          <w:szCs w:val="21"/>
          <w:highlight w:val="none"/>
          <w:u w:val="none"/>
          <w:lang w:val="en-US" w:eastAsia="zh-CN"/>
        </w:rPr>
        <w:t>公顷</w:t>
      </w:r>
      <w:r>
        <w:rPr>
          <w:rFonts w:hint="eastAsia" w:ascii="仿宋" w:hAnsi="仿宋" w:eastAsia="仿宋" w:cs="仿宋"/>
          <w:color w:val="auto"/>
          <w:sz w:val="28"/>
          <w:szCs w:val="21"/>
          <w:highlight w:val="none"/>
          <w:u w:val="none"/>
        </w:rPr>
        <w:t>。</w:t>
      </w:r>
    </w:p>
    <w:p w14:paraId="5E0BD09E">
      <w:pPr>
        <w:ind w:firstLine="640"/>
        <w:rPr>
          <w:rFonts w:hint="eastAsia" w:ascii="仿宋" w:hAnsi="仿宋" w:eastAsia="仿宋" w:cs="仿宋"/>
          <w:bCs/>
          <w:kern w:val="2"/>
          <w:sz w:val="28"/>
          <w:szCs w:val="28"/>
          <w:highlight w:val="none"/>
          <w:lang w:val="en-US" w:eastAsia="zh-CN" w:bidi="ar"/>
        </w:rPr>
      </w:pPr>
      <w:r>
        <w:rPr>
          <w:rFonts w:hint="eastAsia" w:ascii="仿宋" w:hAnsi="仿宋" w:eastAsia="仿宋" w:cs="仿宋"/>
          <w:color w:val="auto"/>
          <w:sz w:val="28"/>
          <w:szCs w:val="21"/>
          <w:highlight w:val="none"/>
          <w:u w:val="none"/>
          <w:lang w:val="en-US" w:eastAsia="zh-CN"/>
        </w:rPr>
        <w:t>规划清河县中心城区四至边界为：东至清</w:t>
      </w:r>
      <w:r>
        <w:rPr>
          <w:rFonts w:hint="eastAsia" w:ascii="仿宋" w:hAnsi="仿宋" w:eastAsia="仿宋" w:cs="仿宋"/>
          <w:bCs/>
          <w:sz w:val="28"/>
          <w:szCs w:val="28"/>
          <w:highlight w:val="none"/>
          <w:lang w:val="en-US" w:eastAsia="zh-CN" w:bidi="ar"/>
        </w:rPr>
        <w:t>临渠</w:t>
      </w:r>
      <w:r>
        <w:rPr>
          <w:rFonts w:hint="eastAsia" w:ascii="仿宋" w:hAnsi="仿宋" w:eastAsia="仿宋" w:cs="仿宋"/>
          <w:bCs/>
          <w:kern w:val="2"/>
          <w:sz w:val="28"/>
          <w:szCs w:val="28"/>
          <w:highlight w:val="none"/>
          <w:lang w:val="en-US" w:eastAsia="zh-CN" w:bidi="ar"/>
        </w:rPr>
        <w:t>、</w:t>
      </w:r>
      <w:r>
        <w:rPr>
          <w:rFonts w:hint="eastAsia" w:ascii="仿宋" w:hAnsi="仿宋" w:eastAsia="仿宋" w:cs="仿宋"/>
          <w:bCs/>
          <w:sz w:val="28"/>
          <w:szCs w:val="28"/>
          <w:highlight w:val="none"/>
          <w:lang w:val="en-US" w:eastAsia="zh-CN" w:bidi="ar"/>
        </w:rPr>
        <w:t>西至玉龙山路</w:t>
      </w:r>
      <w:r>
        <w:rPr>
          <w:rFonts w:hint="eastAsia" w:ascii="仿宋" w:hAnsi="仿宋" w:eastAsia="仿宋" w:cs="仿宋"/>
          <w:bCs/>
          <w:kern w:val="2"/>
          <w:sz w:val="28"/>
          <w:szCs w:val="28"/>
          <w:highlight w:val="none"/>
          <w:lang w:val="en-US" w:eastAsia="zh-CN" w:bidi="ar"/>
        </w:rPr>
        <w:t>、北至G340国道、南至</w:t>
      </w:r>
      <w:r>
        <w:rPr>
          <w:rFonts w:hint="eastAsia" w:ascii="仿宋" w:hAnsi="仿宋" w:eastAsia="仿宋" w:cs="仿宋"/>
          <w:bCs/>
          <w:sz w:val="28"/>
          <w:szCs w:val="28"/>
          <w:highlight w:val="none"/>
          <w:lang w:val="en-US" w:eastAsia="zh-CN" w:bidi="ar"/>
        </w:rPr>
        <w:t>南外环路</w:t>
      </w:r>
      <w:r>
        <w:rPr>
          <w:rFonts w:hint="eastAsia" w:ascii="仿宋" w:hAnsi="仿宋" w:eastAsia="仿宋" w:cs="仿宋"/>
          <w:bCs/>
          <w:kern w:val="2"/>
          <w:sz w:val="28"/>
          <w:szCs w:val="28"/>
          <w:highlight w:val="none"/>
          <w:lang w:val="en-US" w:eastAsia="zh-CN" w:bidi="ar"/>
        </w:rPr>
        <w:t>。</w:t>
      </w:r>
    </w:p>
    <w:p w14:paraId="086E230E">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bookmarkStart w:id="1" w:name="_Toc30687"/>
      <w:r>
        <w:rPr>
          <w:rFonts w:hint="eastAsia" w:ascii="黑体" w:hAnsi="黑体" w:eastAsia="黑体" w:cs="黑体"/>
          <w:b w:val="0"/>
          <w:bCs/>
          <w:color w:val="auto"/>
          <w:kern w:val="2"/>
          <w:sz w:val="32"/>
          <w:szCs w:val="32"/>
          <w:highlight w:val="none"/>
          <w:u w:val="none"/>
          <w:lang w:val="en-US" w:eastAsia="zh-CN" w:bidi="ar-SA"/>
          <w14:ligatures w14:val="standardContextual"/>
        </w:rPr>
        <w:t>二、功能定位</w:t>
      </w:r>
    </w:p>
    <w:p w14:paraId="5D3BA431">
      <w:pPr>
        <w:pStyle w:val="2"/>
        <w:numPr>
          <w:ilvl w:val="1"/>
          <w:numId w:val="0"/>
        </w:numPr>
        <w:snapToGrid w:val="0"/>
        <w:rPr>
          <w:rFonts w:hint="eastAsia" w:ascii="仿宋" w:hAnsi="仿宋" w:eastAsia="仿宋" w:cs="仿宋"/>
          <w:b/>
          <w:bCs w:val="0"/>
          <w:color w:val="auto"/>
          <w:kern w:val="2"/>
          <w:sz w:val="28"/>
          <w:szCs w:val="28"/>
          <w:highlight w:val="none"/>
          <w:u w:val="none"/>
          <w:lang w:val="en-US" w:eastAsia="zh-CN" w:bidi="ar-SA"/>
          <w14:ligatures w14:val="standardContextual"/>
        </w:rPr>
      </w:pPr>
      <w:r>
        <w:rPr>
          <w:rFonts w:hint="eastAsia" w:ascii="仿宋" w:hAnsi="仿宋" w:eastAsia="仿宋" w:cs="仿宋"/>
          <w:sz w:val="28"/>
          <w:szCs w:val="28"/>
          <w:highlight w:val="none"/>
          <w:lang w:val="en-US" w:eastAsia="zh-CN"/>
        </w:rPr>
        <w:t>严格落实国土空间总体规划对清河县规划定位</w:t>
      </w:r>
      <w:r>
        <w:rPr>
          <w:rFonts w:hint="eastAsia" w:ascii="仿宋" w:hAnsi="仿宋" w:eastAsia="仿宋" w:cs="仿宋"/>
          <w:color w:val="auto"/>
          <w:sz w:val="28"/>
          <w:szCs w:val="28"/>
          <w:highlight w:val="none"/>
          <w:u w:val="none"/>
          <w:lang w:eastAsia="zh-CN"/>
        </w:rPr>
        <w:t>“</w:t>
      </w:r>
      <w:r>
        <w:rPr>
          <w:rFonts w:hint="eastAsia" w:ascii="仿宋" w:hAnsi="仿宋" w:eastAsia="仿宋" w:cs="仿宋"/>
          <w:bCs/>
          <w:sz w:val="28"/>
          <w:szCs w:val="28"/>
          <w:highlight w:val="none"/>
          <w:lang w:val="en-US" w:eastAsia="zh-CN" w:bidi="ar"/>
        </w:rPr>
        <w:t>邢台市副中心城市，羊绒、汽车及零部件产业基地，大运河文化旅游融合发展区</w:t>
      </w:r>
      <w:r>
        <w:rPr>
          <w:rFonts w:hint="eastAsia" w:ascii="仿宋" w:hAnsi="仿宋" w:eastAsia="仿宋" w:cs="仿宋"/>
          <w:color w:val="auto"/>
          <w:sz w:val="28"/>
          <w:szCs w:val="28"/>
          <w:highlight w:val="none"/>
          <w:u w:val="none"/>
          <w:lang w:val="en-US" w:eastAsia="zh-CN"/>
        </w:rPr>
        <w:t>”。</w:t>
      </w:r>
    </w:p>
    <w:p w14:paraId="07C6C6B7">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r>
        <w:rPr>
          <w:rFonts w:hint="eastAsia" w:ascii="黑体" w:hAnsi="黑体" w:eastAsia="黑体" w:cs="黑体"/>
          <w:b w:val="0"/>
          <w:bCs/>
          <w:color w:val="auto"/>
          <w:kern w:val="2"/>
          <w:sz w:val="32"/>
          <w:szCs w:val="32"/>
          <w:highlight w:val="none"/>
          <w:u w:val="none"/>
          <w:lang w:val="en-US" w:eastAsia="zh-CN" w:bidi="ar-SA"/>
          <w14:ligatures w14:val="standardContextual"/>
        </w:rPr>
        <w:t>三、单元划定</w:t>
      </w:r>
      <w:bookmarkEnd w:id="1"/>
    </w:p>
    <w:p w14:paraId="02FFFD48">
      <w:pPr>
        <w:pStyle w:val="3"/>
        <w:numPr>
          <w:ilvl w:val="2"/>
          <w:numId w:val="0"/>
        </w:numPr>
        <w:snapToGrid w:val="0"/>
        <w:ind w:left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单元划定</w:t>
      </w:r>
    </w:p>
    <w:p w14:paraId="31A47385">
      <w:pPr>
        <w:ind w:firstLine="640"/>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按照全域覆盖、边界闭合、编管结合、上下贯穿的原则，统筹考虑功能分区、行政管理边界、自然地理界线、基础设施廊道、现行详细规划编制单元、用地权属边界、成片开发等因素，结合</w:t>
      </w:r>
      <w:r>
        <w:rPr>
          <w:rFonts w:hint="eastAsia" w:ascii="仿宋" w:hAnsi="仿宋" w:eastAsia="仿宋" w:cs="仿宋"/>
          <w:bCs/>
          <w:kern w:val="2"/>
          <w:sz w:val="28"/>
          <w:szCs w:val="28"/>
          <w:highlight w:val="none"/>
          <w:lang w:val="en-US" w:eastAsia="zh-CN" w:bidi="ar"/>
        </w:rPr>
        <w:t>15</w:t>
      </w:r>
      <w:r>
        <w:rPr>
          <w:rFonts w:hint="eastAsia" w:ascii="仿宋" w:hAnsi="仿宋" w:eastAsia="仿宋" w:cs="仿宋"/>
          <w:color w:val="auto"/>
          <w:sz w:val="28"/>
          <w:szCs w:val="21"/>
          <w:highlight w:val="none"/>
          <w:u w:val="none"/>
        </w:rPr>
        <w:t>分钟社区生活圈设施配置，将</w:t>
      </w:r>
      <w:r>
        <w:rPr>
          <w:rFonts w:hint="eastAsia" w:ascii="仿宋" w:hAnsi="仿宋" w:eastAsia="仿宋" w:cs="仿宋"/>
          <w:color w:val="auto"/>
          <w:sz w:val="28"/>
          <w:szCs w:val="21"/>
          <w:highlight w:val="none"/>
          <w:u w:val="none"/>
          <w:lang w:val="en-US" w:eastAsia="zh-CN"/>
        </w:rPr>
        <w:t>清河县中心城区</w:t>
      </w:r>
      <w:r>
        <w:rPr>
          <w:rFonts w:hint="eastAsia" w:ascii="仿宋" w:hAnsi="仿宋" w:eastAsia="仿宋" w:cs="仿宋"/>
          <w:color w:val="auto"/>
          <w:sz w:val="28"/>
          <w:szCs w:val="21"/>
          <w:highlight w:val="none"/>
          <w:u w:val="none"/>
        </w:rPr>
        <w:t>合理划分为</w:t>
      </w:r>
      <w:r>
        <w:rPr>
          <w:rFonts w:hint="eastAsia" w:ascii="仿宋" w:hAnsi="仿宋" w:eastAsia="仿宋" w:cs="仿宋"/>
          <w:bCs/>
          <w:kern w:val="2"/>
          <w:sz w:val="28"/>
          <w:szCs w:val="28"/>
          <w:highlight w:val="none"/>
          <w:lang w:val="en-US" w:eastAsia="zh-CN" w:bidi="ar"/>
        </w:rPr>
        <w:t>31</w:t>
      </w:r>
      <w:r>
        <w:rPr>
          <w:rFonts w:hint="eastAsia" w:ascii="仿宋" w:hAnsi="仿宋" w:eastAsia="仿宋" w:cs="仿宋"/>
          <w:color w:val="auto"/>
          <w:sz w:val="28"/>
          <w:szCs w:val="21"/>
          <w:highlight w:val="none"/>
          <w:u w:val="none"/>
        </w:rPr>
        <w:t>个详细规划编制单元</w:t>
      </w:r>
      <w:r>
        <w:rPr>
          <w:rFonts w:hint="eastAsia" w:ascii="仿宋" w:hAnsi="仿宋" w:eastAsia="仿宋" w:cs="仿宋"/>
          <w:color w:val="auto"/>
          <w:sz w:val="28"/>
          <w:szCs w:val="21"/>
          <w:highlight w:val="none"/>
          <w:u w:val="none"/>
          <w:lang w:eastAsia="zh-CN"/>
        </w:rPr>
        <w:t>。</w:t>
      </w:r>
    </w:p>
    <w:p w14:paraId="5498F6DB">
      <w:pPr>
        <w:pStyle w:val="3"/>
        <w:numPr>
          <w:ilvl w:val="2"/>
          <w:numId w:val="0"/>
        </w:numPr>
        <w:snapToGrid w:val="0"/>
        <w:ind w:left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单元分类</w:t>
      </w:r>
    </w:p>
    <w:p w14:paraId="326D5D53">
      <w:pPr>
        <w:ind w:firstLine="640"/>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28"/>
          <w:szCs w:val="21"/>
          <w:highlight w:val="none"/>
          <w:u w:val="none"/>
          <w:lang w:val="en-US" w:eastAsia="zh-CN"/>
        </w:rPr>
        <w:t>按照规划</w:t>
      </w:r>
      <w:r>
        <w:rPr>
          <w:rFonts w:hint="eastAsia" w:ascii="仿宋" w:hAnsi="仿宋" w:eastAsia="仿宋" w:cs="仿宋"/>
          <w:color w:val="auto"/>
          <w:sz w:val="28"/>
          <w:szCs w:val="21"/>
          <w:highlight w:val="none"/>
          <w:u w:val="none"/>
        </w:rPr>
        <w:t>单元</w:t>
      </w:r>
      <w:r>
        <w:rPr>
          <w:rFonts w:hint="eastAsia" w:ascii="仿宋" w:hAnsi="仿宋" w:eastAsia="仿宋" w:cs="仿宋"/>
          <w:color w:val="auto"/>
          <w:sz w:val="28"/>
          <w:szCs w:val="21"/>
          <w:highlight w:val="none"/>
          <w:u w:val="none"/>
          <w:lang w:val="en-US" w:eastAsia="zh-CN"/>
        </w:rPr>
        <w:t>的新增建设规模比例</w:t>
      </w:r>
      <w:r>
        <w:rPr>
          <w:rFonts w:hint="eastAsia" w:ascii="仿宋" w:hAnsi="仿宋" w:eastAsia="仿宋" w:cs="仿宋"/>
          <w:color w:val="auto"/>
          <w:sz w:val="28"/>
          <w:szCs w:val="21"/>
          <w:highlight w:val="none"/>
          <w:u w:val="none"/>
        </w:rPr>
        <w:t>，将</w:t>
      </w:r>
      <w:r>
        <w:rPr>
          <w:rFonts w:hint="eastAsia" w:ascii="仿宋" w:hAnsi="仿宋" w:eastAsia="仿宋" w:cs="仿宋"/>
          <w:bCs/>
          <w:kern w:val="2"/>
          <w:sz w:val="28"/>
          <w:szCs w:val="28"/>
          <w:highlight w:val="none"/>
          <w:lang w:val="en-US" w:eastAsia="zh-CN" w:bidi="ar"/>
        </w:rPr>
        <w:t>31</w:t>
      </w:r>
      <w:r>
        <w:rPr>
          <w:rFonts w:hint="eastAsia" w:ascii="仿宋" w:hAnsi="仿宋" w:eastAsia="仿宋" w:cs="仿宋"/>
          <w:color w:val="auto"/>
          <w:sz w:val="28"/>
          <w:szCs w:val="21"/>
          <w:highlight w:val="none"/>
          <w:u w:val="none"/>
        </w:rPr>
        <w:t>个单元划分为更新类和新建类两类单元进行分类指引。更新类单元</w:t>
      </w:r>
      <w:r>
        <w:rPr>
          <w:rFonts w:hint="eastAsia" w:ascii="仿宋" w:hAnsi="仿宋" w:eastAsia="仿宋" w:cs="仿宋"/>
          <w:bCs/>
          <w:kern w:val="2"/>
          <w:sz w:val="28"/>
          <w:szCs w:val="28"/>
          <w:highlight w:val="none"/>
          <w:lang w:val="en-US" w:eastAsia="zh-CN" w:bidi="ar"/>
        </w:rPr>
        <w:t>26</w:t>
      </w:r>
      <w:r>
        <w:rPr>
          <w:rFonts w:hint="eastAsia" w:ascii="仿宋" w:hAnsi="仿宋" w:eastAsia="仿宋" w:cs="仿宋"/>
          <w:color w:val="auto"/>
          <w:sz w:val="28"/>
          <w:szCs w:val="21"/>
          <w:highlight w:val="none"/>
          <w:u w:val="none"/>
        </w:rPr>
        <w:t>个，是以保留用地、低效用地再开发利用为主</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新建类单元5个</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以新增建设用地开发利用为主的</w:t>
      </w:r>
      <w:r>
        <w:rPr>
          <w:rFonts w:hint="eastAsia" w:ascii="仿宋" w:hAnsi="仿宋" w:eastAsia="仿宋" w:cs="仿宋"/>
          <w:color w:val="auto"/>
          <w:sz w:val="32"/>
          <w:szCs w:val="32"/>
          <w:highlight w:val="none"/>
          <w:u w:val="none"/>
        </w:rPr>
        <w:t>增量空间单元。</w:t>
      </w:r>
    </w:p>
    <w:p w14:paraId="71CA4297">
      <w:pPr>
        <w:pStyle w:val="2"/>
        <w:numPr>
          <w:ilvl w:val="1"/>
          <w:numId w:val="0"/>
        </w:numPr>
        <w:snapToGrid w:val="0"/>
        <w:rPr>
          <w:rFonts w:hint="eastAsia" w:ascii="黑体" w:hAnsi="黑体" w:eastAsia="黑体" w:cs="黑体"/>
          <w:b w:val="0"/>
          <w:bCs/>
          <w:color w:val="auto"/>
          <w:kern w:val="2"/>
          <w:sz w:val="32"/>
          <w:szCs w:val="32"/>
          <w:highlight w:val="none"/>
          <w:u w:val="none"/>
          <w:lang w:val="en-US" w:eastAsia="zh-CN" w:bidi="ar-SA"/>
          <w14:ligatures w14:val="standardContextual"/>
        </w:rPr>
      </w:pPr>
      <w:bookmarkStart w:id="2" w:name="_Toc28246"/>
    </w:p>
    <w:p w14:paraId="2BE8D02B">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r>
        <w:rPr>
          <w:rFonts w:hint="eastAsia" w:ascii="黑体" w:hAnsi="黑体" w:eastAsia="黑体" w:cs="黑体"/>
          <w:b w:val="0"/>
          <w:bCs/>
          <w:color w:val="auto"/>
          <w:kern w:val="2"/>
          <w:sz w:val="32"/>
          <w:szCs w:val="32"/>
          <w:highlight w:val="none"/>
          <w:u w:val="none"/>
          <w:lang w:val="en-US" w:eastAsia="zh-CN" w:bidi="ar-SA"/>
          <w14:ligatures w14:val="standardContextual"/>
        </w:rPr>
        <w:t>四、土地使用管控</w:t>
      </w:r>
      <w:bookmarkEnd w:id="2"/>
    </w:p>
    <w:p w14:paraId="28767618">
      <w:pPr>
        <w:ind w:firstLine="640"/>
        <w:rPr>
          <w:rFonts w:hint="eastAsia" w:ascii="仿宋" w:hAnsi="仿宋" w:eastAsia="仿宋" w:cs="仿宋"/>
          <w:color w:val="auto"/>
          <w:sz w:val="28"/>
          <w:szCs w:val="28"/>
          <w:highlight w:val="none"/>
          <w:u w:val="none"/>
          <w14:ligatures w14:val="none"/>
        </w:rPr>
      </w:pPr>
      <w:r>
        <w:rPr>
          <w:rFonts w:hint="eastAsia" w:ascii="仿宋" w:hAnsi="仿宋" w:eastAsia="仿宋" w:cs="仿宋"/>
          <w:sz w:val="28"/>
          <w:szCs w:val="21"/>
          <w:lang w:val="en-US" w:eastAsia="zh-CN"/>
        </w:rPr>
        <w:t>结合规划管控分区，考虑历史文化保护、用地性质、土地集约、节约利用等要求，生活区</w:t>
      </w:r>
      <w:r>
        <w:rPr>
          <w:rFonts w:hint="eastAsia" w:ascii="仿宋" w:hAnsi="仿宋" w:eastAsia="仿宋" w:cs="仿宋"/>
          <w:color w:val="auto"/>
          <w:sz w:val="28"/>
          <w:szCs w:val="22"/>
          <w:highlight w:val="none"/>
          <w:u w:val="none"/>
        </w:rPr>
        <w:t>形成</w:t>
      </w:r>
      <w:r>
        <w:rPr>
          <w:rFonts w:hint="eastAsia" w:ascii="仿宋" w:hAnsi="仿宋" w:eastAsia="仿宋" w:cs="仿宋"/>
          <w:bCs/>
          <w:kern w:val="2"/>
          <w:sz w:val="28"/>
          <w:szCs w:val="28"/>
          <w:highlight w:val="none"/>
          <w:lang w:val="en-US" w:eastAsia="zh-CN" w:bidi="ar"/>
        </w:rPr>
        <w:t>5</w:t>
      </w:r>
      <w:r>
        <w:rPr>
          <w:rFonts w:hint="eastAsia" w:ascii="仿宋" w:hAnsi="仿宋" w:eastAsia="仿宋" w:cs="仿宋"/>
          <w:color w:val="auto"/>
          <w:sz w:val="28"/>
          <w:szCs w:val="22"/>
          <w:highlight w:val="none"/>
          <w:u w:val="none"/>
        </w:rPr>
        <w:t>级强度分区</w:t>
      </w:r>
      <w:r>
        <w:rPr>
          <w:rFonts w:hint="eastAsia" w:ascii="仿宋" w:hAnsi="仿宋" w:eastAsia="仿宋" w:cs="仿宋"/>
          <w:color w:val="auto"/>
          <w:sz w:val="28"/>
          <w:szCs w:val="22"/>
          <w:highlight w:val="none"/>
          <w:u w:val="none"/>
          <w:lang w:eastAsia="zh-CN"/>
        </w:rPr>
        <w:t>，</w:t>
      </w:r>
      <w:r>
        <w:rPr>
          <w:rFonts w:hint="eastAsia" w:ascii="仿宋" w:hAnsi="仿宋" w:eastAsia="仿宋" w:cs="仿宋"/>
          <w:color w:val="000000" w:themeColor="text1"/>
          <w:sz w:val="28"/>
          <w:szCs w:val="22"/>
          <w14:textFill>
            <w14:solidFill>
              <w14:schemeClr w14:val="tx1"/>
            </w14:solidFill>
          </w14:textFill>
        </w:rPr>
        <w:t>低强度建设区</w:t>
      </w:r>
      <w:r>
        <w:rPr>
          <w:rFonts w:hint="eastAsia" w:ascii="仿宋" w:hAnsi="仿宋" w:eastAsia="仿宋" w:cs="仿宋"/>
          <w:color w:val="auto"/>
          <w:sz w:val="28"/>
          <w:szCs w:val="22"/>
          <w:highlight w:val="none"/>
          <w:u w:val="none"/>
          <w:lang w:eastAsia="zh-CN"/>
        </w:rPr>
        <w:t>：</w:t>
      </w:r>
      <w:r>
        <w:rPr>
          <w:rFonts w:hint="eastAsia" w:ascii="仿宋" w:hAnsi="仿宋" w:eastAsia="仿宋" w:cs="仿宋"/>
          <w:color w:val="auto"/>
          <w:sz w:val="28"/>
          <w:szCs w:val="21"/>
          <w:highlight w:val="none"/>
          <w:u w:val="none"/>
        </w:rPr>
        <w:t>容积率≤</w:t>
      </w:r>
      <w:r>
        <w:rPr>
          <w:rFonts w:hint="eastAsia" w:ascii="仿宋" w:hAnsi="仿宋" w:eastAsia="仿宋" w:cs="仿宋"/>
          <w:bCs/>
          <w:kern w:val="2"/>
          <w:sz w:val="28"/>
          <w:szCs w:val="28"/>
          <w:highlight w:val="none"/>
          <w:lang w:val="en-US" w:eastAsia="zh-CN" w:bidi="ar"/>
        </w:rPr>
        <w:t>1.0</w:t>
      </w:r>
      <w:r>
        <w:rPr>
          <w:rFonts w:hint="eastAsia" w:ascii="仿宋" w:hAnsi="仿宋" w:eastAsia="仿宋" w:cs="仿宋"/>
          <w:color w:val="auto"/>
          <w:sz w:val="28"/>
          <w:szCs w:val="22"/>
          <w:highlight w:val="none"/>
          <w:u w:val="none"/>
          <w:lang w:eastAsia="zh-CN"/>
        </w:rPr>
        <w:t>；</w:t>
      </w:r>
      <w:r>
        <w:rPr>
          <w:rFonts w:hint="eastAsia" w:ascii="仿宋" w:hAnsi="仿宋" w:eastAsia="仿宋" w:cs="仿宋"/>
          <w:color w:val="000000" w:themeColor="text1"/>
          <w:sz w:val="28"/>
          <w:szCs w:val="22"/>
          <w14:textFill>
            <w14:solidFill>
              <w14:schemeClr w14:val="tx1"/>
            </w14:solidFill>
          </w14:textFill>
        </w:rPr>
        <w:t>中低强度建设区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容积率≤</w:t>
      </w:r>
      <w:r>
        <w:rPr>
          <w:rFonts w:hint="eastAsia" w:ascii="仿宋" w:hAnsi="仿宋" w:eastAsia="仿宋" w:cs="仿宋"/>
          <w:bCs/>
          <w:kern w:val="2"/>
          <w:sz w:val="28"/>
          <w:szCs w:val="28"/>
          <w:highlight w:val="none"/>
          <w:lang w:val="en-US" w:eastAsia="zh-CN" w:bidi="ar"/>
        </w:rPr>
        <w:t>1.5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000000" w:themeColor="text1"/>
          <w:sz w:val="28"/>
          <w:szCs w:val="22"/>
          <w14:textFill>
            <w14:solidFill>
              <w14:schemeClr w14:val="tx1"/>
            </w14:solidFill>
          </w14:textFill>
        </w:rPr>
        <w:t>中强度建设区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容积率≤</w:t>
      </w:r>
      <w:r>
        <w:rPr>
          <w:rFonts w:hint="eastAsia" w:ascii="仿宋" w:hAnsi="仿宋" w:eastAsia="仿宋" w:cs="仿宋"/>
          <w:bCs/>
          <w:kern w:val="2"/>
          <w:sz w:val="28"/>
          <w:szCs w:val="28"/>
          <w:highlight w:val="none"/>
          <w:lang w:val="en-US" w:eastAsia="zh-CN" w:bidi="ar"/>
        </w:rPr>
        <w:t>2.0</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000000" w:themeColor="text1"/>
          <w:sz w:val="28"/>
          <w:szCs w:val="22"/>
          <w14:textFill>
            <w14:solidFill>
              <w14:schemeClr w14:val="tx1"/>
            </w14:solidFill>
          </w14:textFill>
        </w:rPr>
        <w:t>中高强度建设区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容积率≤</w:t>
      </w:r>
      <w:r>
        <w:rPr>
          <w:rFonts w:hint="eastAsia" w:ascii="仿宋" w:hAnsi="仿宋" w:eastAsia="仿宋" w:cs="仿宋"/>
          <w:bCs/>
          <w:kern w:val="2"/>
          <w:sz w:val="28"/>
          <w:szCs w:val="28"/>
          <w:highlight w:val="none"/>
          <w:lang w:val="en-US" w:eastAsia="zh-CN" w:bidi="ar"/>
        </w:rPr>
        <w:t>2.5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000000" w:themeColor="text1"/>
          <w:sz w:val="28"/>
          <w:szCs w:val="22"/>
          <w14:textFill>
            <w14:solidFill>
              <w14:schemeClr w14:val="tx1"/>
            </w14:solidFill>
          </w14:textFill>
        </w:rPr>
        <w:t>高强度建设区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容积率≤</w:t>
      </w:r>
      <w:r>
        <w:rPr>
          <w:rFonts w:hint="eastAsia" w:ascii="仿宋" w:hAnsi="仿宋" w:eastAsia="仿宋" w:cs="仿宋"/>
          <w:bCs/>
          <w:kern w:val="2"/>
          <w:sz w:val="28"/>
          <w:szCs w:val="28"/>
          <w:highlight w:val="none"/>
          <w:lang w:val="en-US" w:eastAsia="zh-CN" w:bidi="ar"/>
        </w:rPr>
        <w:t>3.5</w:t>
      </w:r>
      <w:r>
        <w:rPr>
          <w:rFonts w:hint="eastAsia" w:ascii="仿宋" w:hAnsi="仿宋" w:eastAsia="仿宋" w:cs="仿宋"/>
          <w:color w:val="auto"/>
          <w:sz w:val="28"/>
          <w:szCs w:val="21"/>
          <w:highlight w:val="none"/>
          <w:u w:val="none"/>
        </w:rPr>
        <w:t>。</w:t>
      </w:r>
    </w:p>
    <w:p w14:paraId="68F32559">
      <w:pPr>
        <w:ind w:firstLine="640"/>
        <w:rPr>
          <w:rFonts w:hint="eastAsia" w:ascii="仿宋" w:hAnsi="仿宋" w:eastAsia="仿宋" w:cs="仿宋"/>
          <w:color w:val="auto"/>
          <w:sz w:val="28"/>
          <w:szCs w:val="22"/>
          <w:highlight w:val="none"/>
          <w:u w:val="none"/>
        </w:rPr>
      </w:pPr>
      <w:r>
        <w:rPr>
          <w:rFonts w:hint="eastAsia" w:ascii="仿宋" w:hAnsi="仿宋" w:eastAsia="仿宋" w:cs="仿宋"/>
          <w:color w:val="auto"/>
          <w:sz w:val="28"/>
          <w:szCs w:val="22"/>
          <w:highlight w:val="none"/>
          <w:u w:val="none"/>
          <w:lang w:val="en-US" w:eastAsia="zh-CN"/>
        </w:rPr>
        <w:t>生产区形成</w:t>
      </w:r>
      <w:r>
        <w:rPr>
          <w:rFonts w:hint="eastAsia" w:ascii="仿宋" w:hAnsi="仿宋" w:eastAsia="仿宋" w:cs="仿宋"/>
          <w:bCs/>
          <w:kern w:val="2"/>
          <w:sz w:val="28"/>
          <w:szCs w:val="28"/>
          <w:highlight w:val="none"/>
          <w:lang w:val="en-US" w:eastAsia="zh-CN" w:bidi="ar"/>
        </w:rPr>
        <w:t>3</w:t>
      </w:r>
      <w:r>
        <w:rPr>
          <w:rFonts w:hint="eastAsia" w:ascii="仿宋" w:hAnsi="仿宋" w:eastAsia="仿宋" w:cs="仿宋"/>
          <w:color w:val="auto"/>
          <w:sz w:val="28"/>
          <w:szCs w:val="22"/>
          <w:highlight w:val="none"/>
          <w:u w:val="none"/>
          <w:lang w:val="en-US" w:eastAsia="zh-CN"/>
        </w:rPr>
        <w:t>级强度分区。科研用地容积率</w:t>
      </w:r>
      <w:r>
        <w:rPr>
          <w:rFonts w:hint="eastAsia" w:ascii="仿宋" w:hAnsi="仿宋" w:eastAsia="仿宋" w:cs="仿宋"/>
          <w:color w:val="auto"/>
          <w:sz w:val="28"/>
          <w:szCs w:val="22"/>
          <w:highlight w:val="none"/>
          <w:u w:val="none"/>
        </w:rPr>
        <w:t>控制</w:t>
      </w:r>
      <w:r>
        <w:rPr>
          <w:rFonts w:hint="eastAsia" w:ascii="仿宋" w:hAnsi="仿宋" w:eastAsia="仿宋" w:cs="仿宋"/>
          <w:color w:val="auto"/>
          <w:sz w:val="28"/>
          <w:szCs w:val="22"/>
          <w:highlight w:val="none"/>
          <w:u w:val="none"/>
          <w:lang w:val="en-US" w:eastAsia="zh-CN"/>
        </w:rPr>
        <w:t>下</w:t>
      </w:r>
      <w:r>
        <w:rPr>
          <w:rFonts w:hint="eastAsia" w:ascii="仿宋" w:hAnsi="仿宋" w:eastAsia="仿宋" w:cs="仿宋"/>
          <w:color w:val="auto"/>
          <w:sz w:val="28"/>
          <w:szCs w:val="22"/>
          <w:highlight w:val="none"/>
          <w:u w:val="none"/>
        </w:rPr>
        <w:t>限为</w:t>
      </w:r>
      <w:r>
        <w:rPr>
          <w:rFonts w:hint="eastAsia" w:ascii="仿宋" w:hAnsi="仿宋" w:eastAsia="仿宋" w:cs="仿宋"/>
          <w:bCs/>
          <w:kern w:val="2"/>
          <w:sz w:val="28"/>
          <w:szCs w:val="28"/>
          <w:highlight w:val="none"/>
          <w:lang w:val="en-US" w:eastAsia="zh-CN" w:bidi="ar"/>
        </w:rPr>
        <w:t>1.0</w:t>
      </w:r>
      <w:r>
        <w:rPr>
          <w:rFonts w:hint="eastAsia" w:ascii="仿宋" w:hAnsi="仿宋" w:eastAsia="仿宋" w:cs="仿宋"/>
          <w:color w:val="auto"/>
          <w:sz w:val="28"/>
          <w:szCs w:val="22"/>
          <w:highlight w:val="none"/>
          <w:u w:val="none"/>
          <w:lang w:val="en-US" w:eastAsia="zh-CN"/>
        </w:rPr>
        <w:t>；工业用地容积率</w:t>
      </w:r>
      <w:r>
        <w:rPr>
          <w:rFonts w:hint="eastAsia" w:ascii="仿宋" w:hAnsi="仿宋" w:eastAsia="仿宋" w:cs="仿宋"/>
          <w:color w:val="auto"/>
          <w:sz w:val="28"/>
          <w:szCs w:val="22"/>
          <w:highlight w:val="none"/>
          <w:u w:val="none"/>
        </w:rPr>
        <w:t>控制</w:t>
      </w:r>
      <w:r>
        <w:rPr>
          <w:rFonts w:hint="eastAsia" w:ascii="仿宋" w:hAnsi="仿宋" w:eastAsia="仿宋" w:cs="仿宋"/>
          <w:color w:val="auto"/>
          <w:sz w:val="28"/>
          <w:szCs w:val="22"/>
          <w:highlight w:val="none"/>
          <w:u w:val="none"/>
          <w:lang w:val="en-US" w:eastAsia="zh-CN"/>
        </w:rPr>
        <w:t>下</w:t>
      </w:r>
      <w:r>
        <w:rPr>
          <w:rFonts w:hint="eastAsia" w:ascii="仿宋" w:hAnsi="仿宋" w:eastAsia="仿宋" w:cs="仿宋"/>
          <w:color w:val="auto"/>
          <w:sz w:val="28"/>
          <w:szCs w:val="22"/>
          <w:highlight w:val="none"/>
          <w:u w:val="none"/>
        </w:rPr>
        <w:t>限为</w:t>
      </w:r>
      <w:r>
        <w:rPr>
          <w:rFonts w:hint="eastAsia" w:ascii="仿宋" w:hAnsi="仿宋" w:eastAsia="仿宋" w:cs="仿宋"/>
          <w:bCs/>
          <w:kern w:val="2"/>
          <w:sz w:val="28"/>
          <w:szCs w:val="28"/>
          <w:highlight w:val="none"/>
          <w:lang w:val="en-US" w:eastAsia="zh-CN" w:bidi="ar"/>
        </w:rPr>
        <w:t>1.5</w:t>
      </w:r>
      <w:r>
        <w:rPr>
          <w:rFonts w:hint="eastAsia" w:ascii="仿宋" w:hAnsi="仿宋" w:eastAsia="仿宋" w:cs="仿宋"/>
          <w:color w:val="auto"/>
          <w:sz w:val="28"/>
          <w:szCs w:val="22"/>
          <w:highlight w:val="none"/>
          <w:u w:val="none"/>
          <w:lang w:val="en-US" w:eastAsia="zh-CN"/>
        </w:rPr>
        <w:t>；一般物流仓储用地容积率</w:t>
      </w:r>
      <w:r>
        <w:rPr>
          <w:rFonts w:hint="eastAsia" w:ascii="仿宋" w:hAnsi="仿宋" w:eastAsia="仿宋" w:cs="仿宋"/>
          <w:color w:val="auto"/>
          <w:sz w:val="28"/>
          <w:szCs w:val="22"/>
          <w:highlight w:val="none"/>
          <w:u w:val="none"/>
        </w:rPr>
        <w:t>控制</w:t>
      </w:r>
      <w:r>
        <w:rPr>
          <w:rFonts w:hint="eastAsia" w:ascii="仿宋" w:hAnsi="仿宋" w:eastAsia="仿宋" w:cs="仿宋"/>
          <w:color w:val="auto"/>
          <w:sz w:val="28"/>
          <w:szCs w:val="22"/>
          <w:highlight w:val="none"/>
          <w:u w:val="none"/>
          <w:lang w:val="en-US" w:eastAsia="zh-CN"/>
        </w:rPr>
        <w:t>下</w:t>
      </w:r>
      <w:r>
        <w:rPr>
          <w:rFonts w:hint="eastAsia" w:ascii="仿宋" w:hAnsi="仿宋" w:eastAsia="仿宋" w:cs="仿宋"/>
          <w:color w:val="auto"/>
          <w:sz w:val="28"/>
          <w:szCs w:val="22"/>
          <w:highlight w:val="none"/>
          <w:u w:val="none"/>
        </w:rPr>
        <w:t>限为</w:t>
      </w:r>
      <w:r>
        <w:rPr>
          <w:rFonts w:hint="eastAsia" w:ascii="仿宋" w:hAnsi="仿宋" w:eastAsia="仿宋" w:cs="仿宋"/>
          <w:bCs/>
          <w:kern w:val="2"/>
          <w:sz w:val="28"/>
          <w:szCs w:val="28"/>
          <w:highlight w:val="none"/>
          <w:lang w:val="en-US" w:eastAsia="zh-CN" w:bidi="ar"/>
        </w:rPr>
        <w:t>0.5</w:t>
      </w:r>
      <w:r>
        <w:rPr>
          <w:rFonts w:hint="eastAsia" w:ascii="仿宋" w:hAnsi="仿宋" w:eastAsia="仿宋" w:cs="仿宋"/>
          <w:color w:val="auto"/>
          <w:sz w:val="28"/>
          <w:szCs w:val="22"/>
          <w:highlight w:val="none"/>
          <w:u w:val="none"/>
          <w:lang w:val="en-US" w:eastAsia="zh-CN"/>
        </w:rPr>
        <w:t>。</w:t>
      </w:r>
      <w:r>
        <w:rPr>
          <w:rFonts w:hint="eastAsia" w:ascii="仿宋" w:hAnsi="仿宋" w:eastAsia="仿宋" w:cs="仿宋"/>
          <w:color w:val="auto"/>
          <w:sz w:val="28"/>
          <w:szCs w:val="22"/>
          <w:highlight w:val="none"/>
          <w:u w:val="none"/>
        </w:rPr>
        <w:t>鼓励轻工类、科创孵化类工业用地推行工业上楼、用地混合使用等方式提升建设强度。</w:t>
      </w:r>
    </w:p>
    <w:p w14:paraId="5FCEB86A">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bookmarkStart w:id="3" w:name="_Toc12921"/>
      <w:r>
        <w:rPr>
          <w:rFonts w:hint="eastAsia" w:ascii="黑体" w:hAnsi="黑体" w:cs="黑体"/>
          <w:b w:val="0"/>
          <w:bCs/>
          <w:color w:val="auto"/>
          <w:kern w:val="2"/>
          <w:sz w:val="32"/>
          <w:szCs w:val="32"/>
          <w:highlight w:val="none"/>
          <w:u w:val="none"/>
          <w:lang w:val="en-US" w:eastAsia="zh-CN" w:bidi="ar-SA"/>
          <w14:ligatures w14:val="standardContextual"/>
        </w:rPr>
        <w:t>五</w:t>
      </w:r>
      <w:r>
        <w:rPr>
          <w:rFonts w:hint="eastAsia" w:ascii="黑体" w:hAnsi="黑体" w:eastAsia="黑体" w:cs="黑体"/>
          <w:b w:val="0"/>
          <w:bCs/>
          <w:color w:val="auto"/>
          <w:kern w:val="2"/>
          <w:sz w:val="32"/>
          <w:szCs w:val="32"/>
          <w:highlight w:val="none"/>
          <w:u w:val="none"/>
          <w:lang w:val="en-US" w:eastAsia="zh-CN" w:bidi="ar-SA"/>
          <w14:ligatures w14:val="standardContextual"/>
        </w:rPr>
        <w:t>、控制线管控</w:t>
      </w:r>
      <w:bookmarkEnd w:id="3"/>
    </w:p>
    <w:p w14:paraId="78345BD4">
      <w:pPr>
        <w:pStyle w:val="3"/>
        <w:numPr>
          <w:ilvl w:val="2"/>
          <w:numId w:val="0"/>
        </w:numPr>
        <w:snapToGrid w:val="0"/>
        <w:ind w:leftChars="200"/>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1、绿线控制</w:t>
      </w:r>
    </w:p>
    <w:p w14:paraId="3402BE3D">
      <w:pPr>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规划区绿线指城市规划中划定的‌各类绿地范围的控制边界‌，用于严格保护城市绿地空间。</w:t>
      </w:r>
    </w:p>
    <w:p w14:paraId="7D6DB458">
      <w:pPr>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规划城市绿线内的用地，不得改作他用，不得违反法律法规、强制性标准以及批准的规划进行开发建设；有关部门不得违反规定，批准在绿线范围内进行建设；在绿线范围内，不符合规划要求的建筑物、构筑物及其他设施必须限期迁出；对于违反城市绿线管理制度的行为，必须严格按照《城市绿线管理办法》中的要求执行。</w:t>
      </w:r>
    </w:p>
    <w:p w14:paraId="068D2978">
      <w:pPr>
        <w:pStyle w:val="3"/>
        <w:numPr>
          <w:ilvl w:val="2"/>
          <w:numId w:val="0"/>
        </w:numPr>
        <w:snapToGrid w:val="0"/>
        <w:ind w:leftChars="200"/>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2、黄线控制</w:t>
      </w:r>
    </w:p>
    <w:p w14:paraId="1316475F">
      <w:pPr>
        <w:numPr>
          <w:ilvl w:val="0"/>
          <w:numId w:val="0"/>
        </w:numPr>
        <w:ind w:firstLine="560" w:firstLineChars="200"/>
        <w:rPr>
          <w:rFonts w:hint="eastAsia" w:ascii="仿宋" w:hAnsi="仿宋" w:eastAsia="仿宋" w:cs="仿宋"/>
          <w:b w:val="0"/>
          <w:bCs w:val="0"/>
          <w:color w:val="auto"/>
          <w:sz w:val="28"/>
          <w:szCs w:val="22"/>
          <w:highlight w:val="none"/>
          <w:u w:val="none"/>
          <w:lang w:eastAsia="zh-CN"/>
        </w:rPr>
      </w:pPr>
      <w:r>
        <w:rPr>
          <w:rFonts w:hint="eastAsia" w:ascii="仿宋" w:hAnsi="仿宋" w:eastAsia="仿宋" w:cs="仿宋"/>
          <w:b w:val="0"/>
          <w:bCs w:val="0"/>
          <w:color w:val="auto"/>
          <w:sz w:val="28"/>
          <w:szCs w:val="22"/>
          <w:highlight w:val="none"/>
          <w:u w:val="none"/>
          <w:lang w:val="en-US" w:eastAsia="zh-CN"/>
        </w:rPr>
        <w:t>本规划涉及的黄线控制包括</w:t>
      </w:r>
      <w:r>
        <w:rPr>
          <w:rFonts w:hint="eastAsia" w:ascii="仿宋" w:hAnsi="仿宋" w:eastAsia="仿宋" w:cs="仿宋"/>
          <w:b w:val="0"/>
          <w:bCs w:val="0"/>
          <w:color w:val="auto"/>
          <w:sz w:val="28"/>
          <w:szCs w:val="22"/>
          <w:highlight w:val="none"/>
          <w:u w:val="none"/>
        </w:rPr>
        <w:t>水厂、污水厂、变电站、供热站、供</w:t>
      </w:r>
      <w:r>
        <w:rPr>
          <w:rFonts w:hint="eastAsia" w:ascii="仿宋" w:hAnsi="仿宋" w:eastAsia="仿宋" w:cs="仿宋"/>
          <w:b w:val="0"/>
          <w:bCs w:val="0"/>
          <w:color w:val="auto"/>
          <w:sz w:val="28"/>
          <w:szCs w:val="22"/>
          <w:highlight w:val="none"/>
          <w:u w:val="none"/>
          <w:lang w:val="en-US" w:eastAsia="zh-CN"/>
        </w:rPr>
        <w:t>燃</w:t>
      </w:r>
      <w:r>
        <w:rPr>
          <w:rFonts w:hint="eastAsia" w:ascii="仿宋" w:hAnsi="仿宋" w:eastAsia="仿宋" w:cs="仿宋"/>
          <w:b w:val="0"/>
          <w:bCs w:val="0"/>
          <w:color w:val="auto"/>
          <w:sz w:val="28"/>
          <w:szCs w:val="22"/>
          <w:highlight w:val="none"/>
          <w:u w:val="none"/>
        </w:rPr>
        <w:t>气站、</w:t>
      </w:r>
      <w:r>
        <w:rPr>
          <w:rFonts w:hint="eastAsia" w:ascii="仿宋" w:hAnsi="仿宋" w:eastAsia="仿宋" w:cs="仿宋"/>
          <w:b w:val="0"/>
          <w:bCs w:val="0"/>
          <w:color w:val="auto"/>
          <w:sz w:val="28"/>
          <w:szCs w:val="22"/>
          <w:highlight w:val="none"/>
          <w:u w:val="none"/>
          <w:lang w:val="en-US" w:eastAsia="zh-CN"/>
        </w:rPr>
        <w:t>垃圾转运站、</w:t>
      </w:r>
      <w:r>
        <w:rPr>
          <w:rFonts w:hint="eastAsia" w:ascii="仿宋" w:hAnsi="仿宋" w:eastAsia="仿宋" w:cs="仿宋"/>
          <w:b w:val="0"/>
          <w:bCs w:val="0"/>
          <w:color w:val="auto"/>
          <w:sz w:val="28"/>
          <w:szCs w:val="22"/>
          <w:highlight w:val="none"/>
          <w:u w:val="none"/>
        </w:rPr>
        <w:t>消防站、火车站、客运站和其他</w:t>
      </w:r>
      <w:r>
        <w:rPr>
          <w:rFonts w:hint="eastAsia" w:ascii="仿宋" w:hAnsi="仿宋" w:eastAsia="仿宋" w:cs="仿宋"/>
          <w:b w:val="0"/>
          <w:bCs w:val="0"/>
          <w:color w:val="auto"/>
          <w:sz w:val="28"/>
          <w:szCs w:val="22"/>
          <w:highlight w:val="none"/>
          <w:u w:val="none"/>
          <w:lang w:val="en-US" w:eastAsia="zh-CN"/>
        </w:rPr>
        <w:t>中心城</w:t>
      </w:r>
      <w:r>
        <w:rPr>
          <w:rFonts w:hint="eastAsia" w:ascii="仿宋" w:hAnsi="仿宋" w:eastAsia="仿宋" w:cs="仿宋"/>
          <w:b w:val="0"/>
          <w:bCs w:val="0"/>
          <w:color w:val="auto"/>
          <w:sz w:val="28"/>
          <w:szCs w:val="22"/>
          <w:highlight w:val="none"/>
          <w:u w:val="none"/>
        </w:rPr>
        <w:t>区发展全局有影响的基础设施</w:t>
      </w:r>
      <w:r>
        <w:rPr>
          <w:rFonts w:hint="eastAsia" w:ascii="仿宋" w:hAnsi="仿宋" w:eastAsia="仿宋" w:cs="仿宋"/>
          <w:b w:val="0"/>
          <w:bCs w:val="0"/>
          <w:color w:val="auto"/>
          <w:sz w:val="28"/>
          <w:szCs w:val="22"/>
          <w:highlight w:val="none"/>
          <w:u w:val="none"/>
          <w:lang w:eastAsia="zh-CN"/>
        </w:rPr>
        <w:t>。</w:t>
      </w:r>
    </w:p>
    <w:p w14:paraId="60ABF30D">
      <w:pPr>
        <w:pStyle w:val="3"/>
        <w:numPr>
          <w:ilvl w:val="2"/>
          <w:numId w:val="0"/>
        </w:numPr>
        <w:snapToGrid w:val="0"/>
        <w:ind w:leftChars="200"/>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3、紫线控制</w:t>
      </w:r>
    </w:p>
    <w:p w14:paraId="5E9555F7">
      <w:pPr>
        <w:numPr>
          <w:ilvl w:val="0"/>
          <w:numId w:val="0"/>
        </w:numPr>
        <w:ind w:firstLine="560" w:firstLineChars="200"/>
        <w:rPr>
          <w:rFonts w:hint="eastAsia" w:ascii="仿宋" w:hAnsi="仿宋" w:eastAsia="仿宋" w:cs="仿宋"/>
          <w:b w:val="0"/>
          <w:bCs w:val="0"/>
          <w:color w:val="auto"/>
          <w:sz w:val="28"/>
          <w:szCs w:val="22"/>
          <w:highlight w:val="none"/>
          <w:u w:val="none"/>
          <w:lang w:val="en-US" w:eastAsia="zh-CN"/>
        </w:rPr>
      </w:pPr>
      <w:r>
        <w:rPr>
          <w:rFonts w:hint="eastAsia" w:ascii="仿宋" w:hAnsi="仿宋" w:eastAsia="仿宋" w:cs="仿宋"/>
          <w:b w:val="0"/>
          <w:bCs w:val="0"/>
          <w:color w:val="auto"/>
          <w:sz w:val="28"/>
          <w:szCs w:val="22"/>
          <w:highlight w:val="none"/>
          <w:u w:val="none"/>
          <w:lang w:val="en-US" w:eastAsia="zh-CN"/>
        </w:rPr>
        <w:t>本规划将将贝州故城遗址、邱氏松林墓地保护范围和建设控制地带划定为城市紫线。</w:t>
      </w:r>
    </w:p>
    <w:p w14:paraId="7EDCB498">
      <w:pPr>
        <w:keepLines w:val="0"/>
        <w:pageBreakBefore w:val="0"/>
        <w:widowControl w:val="0"/>
        <w:numPr>
          <w:ilvl w:val="0"/>
          <w:numId w:val="0"/>
        </w:numPr>
        <w:kinsoku/>
        <w:wordWrap/>
        <w:overflowPunct/>
        <w:topLinePunct w:val="0"/>
        <w:autoSpaceDE/>
        <w:autoSpaceDN/>
        <w:bidi w:val="0"/>
        <w:adjustRightInd w:val="0"/>
        <w:ind w:firstLine="560" w:firstLineChars="200"/>
        <w:jc w:val="left"/>
        <w:textAlignment w:val="auto"/>
        <w:rPr>
          <w:rFonts w:hint="eastAsia" w:ascii="仿宋" w:hAnsi="仿宋" w:eastAsia="仿宋" w:cs="仿宋"/>
          <w:b w:val="0"/>
          <w:bCs w:val="0"/>
          <w:color w:val="auto"/>
          <w:sz w:val="28"/>
          <w:szCs w:val="22"/>
          <w:highlight w:val="none"/>
          <w:u w:val="none"/>
          <w:lang w:val="en-US" w:eastAsia="zh-CN"/>
        </w:rPr>
      </w:pPr>
      <w:r>
        <w:rPr>
          <w:rFonts w:hint="eastAsia" w:ascii="仿宋" w:hAnsi="仿宋" w:eastAsia="仿宋" w:cs="仿宋"/>
          <w:b w:val="0"/>
          <w:bCs w:val="0"/>
          <w:color w:val="auto"/>
          <w:sz w:val="28"/>
          <w:szCs w:val="22"/>
          <w:highlight w:val="none"/>
          <w:u w:val="none"/>
          <w:lang w:val="en-US" w:eastAsia="zh-CN"/>
        </w:rPr>
        <w:t>在城市紫线内，从事各类建设和活动，应当符合规划的要求，保护真实的历史文化遗存，维护街区传统格局和风貌，改善、提升基础设施和公共服务设施，提高居民生活质量。城市紫线周边的建设活动，市、县人民政府城乡规划主管部门应当充分考虑历史文化街区和文物保护单位的保护要求，不得影响城市历史风貌。</w:t>
      </w:r>
    </w:p>
    <w:p w14:paraId="4737461F">
      <w:pPr>
        <w:pStyle w:val="3"/>
        <w:keepLines w:val="0"/>
        <w:pageBreakBefore w:val="0"/>
        <w:widowControl w:val="0"/>
        <w:numPr>
          <w:ilvl w:val="2"/>
          <w:numId w:val="0"/>
        </w:numPr>
        <w:kinsoku/>
        <w:wordWrap/>
        <w:overflowPunct/>
        <w:topLinePunct w:val="0"/>
        <w:autoSpaceDE/>
        <w:autoSpaceDN/>
        <w:bidi w:val="0"/>
        <w:adjustRightInd w:val="0"/>
        <w:snapToGrid w:val="0"/>
        <w:ind w:leftChars="200"/>
        <w:jc w:val="left"/>
        <w:textAlignment w:val="auto"/>
        <w:rPr>
          <w:rFonts w:hint="eastAsia" w:ascii="仿宋" w:hAnsi="仿宋" w:eastAsia="仿宋" w:cs="仿宋"/>
          <w:b w:val="0"/>
          <w:bCs w:val="0"/>
          <w:color w:val="auto"/>
          <w:kern w:val="2"/>
          <w:sz w:val="30"/>
          <w:szCs w:val="30"/>
          <w:highlight w:val="none"/>
          <w:u w:val="none"/>
          <w:lang w:val="en-US" w:eastAsia="zh-CN" w:bidi="ar-SA"/>
          <w14:ligatures w14:val="standardContextual"/>
        </w:rPr>
      </w:pPr>
      <w:r>
        <w:rPr>
          <w:rFonts w:hint="eastAsia" w:ascii="仿宋" w:hAnsi="仿宋" w:eastAsia="仿宋" w:cs="仿宋"/>
          <w:b w:val="0"/>
          <w:bCs w:val="0"/>
          <w:color w:val="auto"/>
          <w:kern w:val="2"/>
          <w:sz w:val="30"/>
          <w:szCs w:val="30"/>
          <w:highlight w:val="none"/>
          <w:u w:val="none"/>
          <w:lang w:val="en-US" w:eastAsia="zh-CN" w:bidi="ar-SA"/>
          <w14:ligatures w14:val="standardContextual"/>
        </w:rPr>
        <w:t>4、蓝线控制</w:t>
      </w:r>
    </w:p>
    <w:p w14:paraId="3AB92C83">
      <w:pPr>
        <w:keepLines w:val="0"/>
        <w:pageBreakBefore w:val="0"/>
        <w:widowControl w:val="0"/>
        <w:kinsoku/>
        <w:wordWrap/>
        <w:overflowPunct/>
        <w:topLinePunct w:val="0"/>
        <w:autoSpaceDE/>
        <w:autoSpaceDN/>
        <w:bidi w:val="0"/>
        <w:adjustRightInd w:val="0"/>
        <w:ind w:left="0" w:leftChars="0" w:firstLine="600" w:firstLineChars="200"/>
        <w:jc w:val="left"/>
        <w:textAlignment w:val="auto"/>
        <w:rPr>
          <w:rFonts w:hint="eastAsia" w:ascii="仿宋" w:hAnsi="仿宋" w:eastAsia="仿宋" w:cs="仿宋"/>
          <w:color w:val="auto"/>
          <w:sz w:val="28"/>
          <w:szCs w:val="22"/>
          <w:highlight w:val="none"/>
          <w:u w:val="none"/>
        </w:rPr>
      </w:pPr>
      <w:r>
        <w:rPr>
          <w:rFonts w:hint="eastAsia" w:ascii="仿宋" w:hAnsi="仿宋" w:eastAsia="仿宋" w:cs="仿宋"/>
          <w:b w:val="0"/>
          <w:bCs w:val="0"/>
          <w:color w:val="auto"/>
          <w:sz w:val="30"/>
          <w:szCs w:val="30"/>
          <w:highlight w:val="none"/>
          <w:u w:val="none"/>
          <w:lang w:val="en-US" w:eastAsia="zh-CN"/>
        </w:rPr>
        <w:t>本规划范围内不涉及蓝线控制。</w:t>
      </w:r>
    </w:p>
    <w:p w14:paraId="3BBE5469">
      <w:pPr>
        <w:pStyle w:val="2"/>
        <w:numPr>
          <w:ilvl w:val="1"/>
          <w:numId w:val="0"/>
        </w:numPr>
        <w:snapToGrid w:val="0"/>
        <w:ind w:firstLine="640" w:firstLineChars="200"/>
        <w:rPr>
          <w:rFonts w:hint="eastAsia" w:ascii="黑体" w:hAnsi="黑体" w:eastAsia="黑体" w:cs="黑体"/>
          <w:b w:val="0"/>
          <w:bCs/>
          <w:color w:val="auto"/>
          <w:sz w:val="32"/>
          <w:szCs w:val="32"/>
          <w:highlight w:val="none"/>
          <w:u w:val="none"/>
        </w:rPr>
      </w:pPr>
      <w:bookmarkStart w:id="4" w:name="_Toc8382"/>
      <w:bookmarkStart w:id="5" w:name="_Toc21921"/>
      <w:r>
        <w:rPr>
          <w:rFonts w:hint="eastAsia" w:ascii="黑体" w:hAnsi="黑体" w:cs="黑体"/>
          <w:b w:val="0"/>
          <w:bCs/>
          <w:color w:val="auto"/>
          <w:kern w:val="2"/>
          <w:sz w:val="32"/>
          <w:szCs w:val="32"/>
          <w:highlight w:val="none"/>
          <w:u w:val="none"/>
          <w:lang w:val="en-US" w:eastAsia="zh-CN" w:bidi="ar-SA"/>
          <w14:ligatures w14:val="standardContextual"/>
        </w:rPr>
        <w:t>六</w:t>
      </w:r>
      <w:r>
        <w:rPr>
          <w:rFonts w:hint="eastAsia" w:ascii="黑体" w:hAnsi="黑体" w:eastAsia="黑体" w:cs="黑体"/>
          <w:b w:val="0"/>
          <w:bCs/>
          <w:color w:val="auto"/>
          <w:kern w:val="2"/>
          <w:sz w:val="32"/>
          <w:szCs w:val="32"/>
          <w:highlight w:val="none"/>
          <w:u w:val="none"/>
          <w:lang w:val="en-US" w:eastAsia="zh-CN" w:bidi="ar-SA"/>
          <w14:ligatures w14:val="standardContextual"/>
        </w:rPr>
        <w:t>、</w:t>
      </w:r>
      <w:bookmarkEnd w:id="4"/>
      <w:r>
        <w:rPr>
          <w:rFonts w:hint="eastAsia" w:ascii="黑体" w:hAnsi="黑体" w:eastAsia="黑体" w:cs="黑体"/>
          <w:b w:val="0"/>
          <w:bCs/>
          <w:color w:val="auto"/>
          <w:sz w:val="32"/>
          <w:szCs w:val="32"/>
          <w:highlight w:val="none"/>
          <w:u w:val="none"/>
        </w:rPr>
        <w:t>景观格局和蓝绿空间</w:t>
      </w:r>
      <w:bookmarkEnd w:id="5"/>
    </w:p>
    <w:p w14:paraId="719D8474">
      <w:pPr>
        <w:pStyle w:val="3"/>
        <w:numPr>
          <w:ilvl w:val="2"/>
          <w:numId w:val="0"/>
        </w:numPr>
        <w:snapToGrid w:val="0"/>
        <w:ind w:leftChars="200"/>
        <w:rPr>
          <w:rFonts w:hint="eastAsia" w:ascii="仿宋" w:hAnsi="仿宋" w:eastAsia="仿宋" w:cs="仿宋"/>
          <w:b w:val="0"/>
          <w:bCs w:val="0"/>
          <w:color w:val="auto"/>
          <w:kern w:val="2"/>
          <w:sz w:val="28"/>
          <w:szCs w:val="22"/>
          <w:highlight w:val="none"/>
          <w:u w:val="none"/>
          <w:lang w:val="en-US" w:eastAsia="zh-CN" w:bidi="ar-SA"/>
          <w14:ligatures w14:val="standardContextual"/>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1、整体景观结构</w:t>
      </w:r>
    </w:p>
    <w:p w14:paraId="7749645A">
      <w:pPr>
        <w:ind w:firstLine="640"/>
        <w:rPr>
          <w:rFonts w:hint="eastAsia" w:ascii="仿宋" w:hAnsi="仿宋" w:eastAsia="仿宋" w:cs="仿宋"/>
          <w:bCs/>
          <w:sz w:val="28"/>
          <w:szCs w:val="28"/>
          <w:highlight w:val="none"/>
          <w:lang w:val="en-US" w:eastAsia="zh-CN" w:bidi="ar"/>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规划打造“两</w:t>
      </w:r>
      <w:r>
        <w:rPr>
          <w:rFonts w:hint="eastAsia" w:ascii="仿宋" w:hAnsi="仿宋" w:eastAsia="仿宋" w:cs="仿宋"/>
          <w:bCs/>
          <w:sz w:val="28"/>
          <w:szCs w:val="28"/>
          <w:highlight w:val="none"/>
          <w:lang w:val="en-US" w:eastAsia="zh-CN" w:bidi="ar"/>
        </w:rPr>
        <w:t>水绕古城、秀丽新绒</w:t>
      </w:r>
      <w:r>
        <w:rPr>
          <w:rFonts w:hint="eastAsia" w:ascii="仿宋" w:hAnsi="仿宋" w:eastAsia="仿宋" w:cs="仿宋"/>
          <w:b w:val="0"/>
          <w:bCs w:val="0"/>
          <w:color w:val="auto"/>
          <w:kern w:val="2"/>
          <w:sz w:val="28"/>
          <w:szCs w:val="22"/>
          <w:highlight w:val="none"/>
          <w:u w:val="none"/>
          <w:lang w:val="en-US" w:eastAsia="zh-CN" w:bidi="ar-SA"/>
          <w14:ligatures w14:val="standardContextual"/>
        </w:rPr>
        <w:t>都”的城市总体风貌。重点管控贝州故城周边建筑风貌，依托清水河、丰收一支渠打造环城水系景观带，营造特色古城文化。衔接清河县城市风貌规划设计专项规划提升城市空间形象与品质，从空间形象展示上助力清河县打</w:t>
      </w:r>
      <w:r>
        <w:rPr>
          <w:rFonts w:hint="eastAsia" w:ascii="仿宋" w:hAnsi="仿宋" w:eastAsia="仿宋" w:cs="仿宋"/>
          <w:bCs/>
          <w:sz w:val="28"/>
          <w:szCs w:val="28"/>
          <w:highlight w:val="none"/>
          <w:lang w:val="en-US" w:eastAsia="zh-CN" w:bidi="ar"/>
        </w:rPr>
        <w:t>造宜居宜业县城样板；依托精品文化与资源禀赋，致力塑造清河特色魅力空间，打造特色鲜明羊绒都市风貌。整体构建“一带六区多廊”的风貌格局。</w:t>
      </w:r>
    </w:p>
    <w:p w14:paraId="29536E7C">
      <w:pPr>
        <w:pStyle w:val="3"/>
        <w:numPr>
          <w:ilvl w:val="2"/>
          <w:numId w:val="0"/>
        </w:numPr>
        <w:snapToGrid w:val="0"/>
        <w:ind w:leftChars="200"/>
        <w:rPr>
          <w:rFonts w:hint="eastAsia" w:ascii="仿宋" w:hAnsi="仿宋" w:eastAsia="仿宋" w:cs="仿宋"/>
          <w:color w:val="auto"/>
          <w:sz w:val="28"/>
          <w:szCs w:val="28"/>
          <w:highlight w:val="none"/>
          <w:u w:val="none"/>
        </w:rPr>
      </w:pPr>
      <w:r>
        <w:rPr>
          <w:rFonts w:hint="eastAsia" w:ascii="仿宋" w:hAnsi="仿宋" w:eastAsia="仿宋" w:cs="仿宋"/>
          <w:b w:val="0"/>
          <w:bCs w:val="0"/>
          <w:color w:val="auto"/>
          <w:kern w:val="2"/>
          <w:sz w:val="28"/>
          <w:szCs w:val="22"/>
          <w:highlight w:val="none"/>
          <w:u w:val="none"/>
          <w:lang w:val="en-US" w:eastAsia="zh-CN" w:bidi="ar-SA"/>
          <w14:ligatures w14:val="standardContextual"/>
        </w:rPr>
        <w:t>2、</w:t>
      </w:r>
      <w:r>
        <w:rPr>
          <w:rFonts w:hint="eastAsia" w:ascii="仿宋" w:hAnsi="仿宋" w:eastAsia="仿宋" w:cs="仿宋"/>
          <w:color w:val="auto"/>
          <w:sz w:val="28"/>
          <w:szCs w:val="28"/>
          <w:highlight w:val="none"/>
          <w:u w:val="none"/>
        </w:rPr>
        <w:t>蓝绿空间</w:t>
      </w:r>
    </w:p>
    <w:p w14:paraId="4BF19723">
      <w:pPr>
        <w:ind w:firstLine="640"/>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构建</w:t>
      </w:r>
      <w:r>
        <w:rPr>
          <w:rFonts w:hint="eastAsia" w:ascii="仿宋" w:hAnsi="仿宋" w:eastAsia="仿宋" w:cs="仿宋"/>
          <w:color w:val="auto"/>
          <w:sz w:val="28"/>
          <w:szCs w:val="21"/>
          <w:highlight w:val="none"/>
          <w:u w:val="none"/>
          <w:lang w:val="en-US" w:eastAsia="zh-CN"/>
        </w:rPr>
        <w:t>“田-园-河-湖-城”相结合的清河特色绿网体系</w:t>
      </w:r>
      <w:r>
        <w:rPr>
          <w:rFonts w:hint="eastAsia" w:ascii="仿宋" w:hAnsi="仿宋" w:eastAsia="仿宋" w:cs="仿宋"/>
          <w:color w:val="auto"/>
          <w:sz w:val="28"/>
          <w:szCs w:val="21"/>
          <w:highlight w:val="none"/>
          <w:u w:val="none"/>
        </w:rPr>
        <w:t>，使公园绿地、广场步行</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rPr>
        <w:t>分钟覆盖率达到</w:t>
      </w:r>
      <w:r>
        <w:rPr>
          <w:rFonts w:hint="eastAsia" w:ascii="仿宋" w:hAnsi="仿宋" w:eastAsia="仿宋" w:cs="仿宋"/>
          <w:color w:val="auto"/>
          <w:sz w:val="28"/>
          <w:szCs w:val="21"/>
          <w:highlight w:val="none"/>
          <w:u w:val="none"/>
          <w:lang w:val="en-US" w:eastAsia="zh-CN"/>
        </w:rPr>
        <w:t>90</w:t>
      </w: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以上</w:t>
      </w:r>
      <w:r>
        <w:rPr>
          <w:rFonts w:hint="eastAsia" w:ascii="仿宋" w:hAnsi="仿宋" w:eastAsia="仿宋" w:cs="仿宋"/>
          <w:color w:val="auto"/>
          <w:sz w:val="28"/>
          <w:szCs w:val="21"/>
          <w:highlight w:val="none"/>
          <w:u w:val="none"/>
        </w:rPr>
        <w:t>。</w:t>
      </w:r>
    </w:p>
    <w:p w14:paraId="54705D28">
      <w:pPr>
        <w:ind w:firstLine="640"/>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蓝廊与绿道</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依</w:t>
      </w:r>
      <w:r>
        <w:rPr>
          <w:rFonts w:hint="eastAsia" w:ascii="仿宋" w:hAnsi="仿宋" w:eastAsia="仿宋" w:cs="仿宋"/>
          <w:bCs/>
          <w:sz w:val="28"/>
          <w:szCs w:val="28"/>
          <w:highlight w:val="none"/>
          <w:lang w:val="en-US" w:eastAsia="zh-CN" w:bidi="ar"/>
        </w:rPr>
        <w:t>托重要干道两侧的绿带布局和现状渠道，打造10条连续开放的城市绿道。延续现有水系格</w:t>
      </w:r>
      <w:r>
        <w:rPr>
          <w:rFonts w:hint="eastAsia" w:ascii="仿宋" w:hAnsi="仿宋" w:eastAsia="仿宋" w:cs="仿宋"/>
          <w:color w:val="auto"/>
          <w:sz w:val="28"/>
          <w:szCs w:val="21"/>
          <w:highlight w:val="none"/>
          <w:u w:val="none"/>
          <w:lang w:val="en-US" w:eastAsia="zh-CN"/>
        </w:rPr>
        <w:t>局，落实并优化滨水绿道建设，淡化田园与城市界线，依托道路两侧的线型绿地，作为绿化毛细血管，形成连续的城市生态带，连接田园生态、大型公园和城市重要功能节点，保证绿道系统的开放性、连续性与包容性，为城市输送连续的风光带和品质良好的游憩休闲带。</w:t>
      </w:r>
    </w:p>
    <w:p w14:paraId="7CB12C02">
      <w:pPr>
        <w:ind w:firstLine="640"/>
        <w:rPr>
          <w:rFonts w:hint="eastAsia" w:ascii="仿宋" w:hAnsi="仿宋" w:eastAsia="仿宋" w:cs="仿宋"/>
          <w:color w:val="auto"/>
          <w:sz w:val="28"/>
          <w:szCs w:val="22"/>
          <w:highlight w:val="none"/>
          <w:u w:val="none"/>
          <w:lang w:val="en-US" w:eastAsia="zh-CN"/>
        </w:rPr>
      </w:pPr>
      <w:r>
        <w:rPr>
          <w:rFonts w:hint="eastAsia" w:ascii="仿宋" w:hAnsi="仿宋" w:eastAsia="仿宋" w:cs="仿宋"/>
          <w:color w:val="auto"/>
          <w:sz w:val="28"/>
          <w:szCs w:val="21"/>
          <w:highlight w:val="none"/>
          <w:u w:val="none"/>
          <w:lang w:val="en-US" w:eastAsia="zh-CN"/>
        </w:rPr>
        <w:t>公园与广场。落实总体规划确定的综合公园、专类公园、县级综合广场和大型集散广场，优化补充社区级绿地广场布局。中心城区采用4级公园体系：综合公园——专类公园——社区公园——游园。</w:t>
      </w:r>
      <w:r>
        <w:rPr>
          <w:rFonts w:hint="eastAsia" w:ascii="仿宋" w:hAnsi="仿宋" w:eastAsia="仿宋" w:cs="仿宋"/>
          <w:bCs/>
          <w:sz w:val="28"/>
          <w:szCs w:val="28"/>
          <w:highlight w:val="none"/>
          <w:lang w:val="en-US" w:eastAsia="zh-CN" w:bidi="ar"/>
        </w:rPr>
        <w:t>隔离廊道。落实重大基础设施廊道</w:t>
      </w:r>
      <w:r>
        <w:rPr>
          <w:rFonts w:hint="eastAsia" w:ascii="仿宋" w:hAnsi="仿宋" w:eastAsia="仿宋" w:cs="仿宋"/>
          <w:color w:val="auto"/>
          <w:sz w:val="28"/>
          <w:szCs w:val="21"/>
          <w:highlight w:val="none"/>
          <w:u w:val="none"/>
          <w:lang w:val="en-US" w:eastAsia="zh-CN"/>
        </w:rPr>
        <w:t>布局和管控要求，严格保护铁路、高速、高压走廊等隔离廊道的控制要求。</w:t>
      </w:r>
    </w:p>
    <w:p w14:paraId="2EA75E5C">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bookmarkStart w:id="6" w:name="_Toc3944"/>
      <w:bookmarkStart w:id="7" w:name="_Toc14257"/>
      <w:bookmarkStart w:id="8" w:name="_Toc7697"/>
      <w:r>
        <w:rPr>
          <w:rFonts w:hint="eastAsia" w:ascii="黑体" w:hAnsi="黑体" w:cs="黑体"/>
          <w:b w:val="0"/>
          <w:bCs/>
          <w:color w:val="auto"/>
          <w:kern w:val="2"/>
          <w:sz w:val="32"/>
          <w:szCs w:val="32"/>
          <w:highlight w:val="none"/>
          <w:u w:val="none"/>
          <w:lang w:val="en-US" w:eastAsia="zh-CN" w:bidi="ar-SA"/>
          <w14:ligatures w14:val="standardContextual"/>
        </w:rPr>
        <w:t>七</w:t>
      </w:r>
      <w:r>
        <w:rPr>
          <w:rFonts w:hint="eastAsia" w:ascii="黑体" w:hAnsi="黑体" w:eastAsia="黑体" w:cs="黑体"/>
          <w:b w:val="0"/>
          <w:bCs/>
          <w:color w:val="auto"/>
          <w:kern w:val="2"/>
          <w:sz w:val="32"/>
          <w:szCs w:val="32"/>
          <w:highlight w:val="none"/>
          <w:u w:val="none"/>
          <w:lang w:val="en-US" w:eastAsia="zh-CN" w:bidi="ar-SA"/>
          <w14:ligatures w14:val="standardContextual"/>
        </w:rPr>
        <w:t>、</w:t>
      </w:r>
      <w:bookmarkEnd w:id="6"/>
      <w:bookmarkEnd w:id="7"/>
      <w:r>
        <w:rPr>
          <w:rFonts w:hint="eastAsia" w:ascii="黑体" w:hAnsi="黑体" w:eastAsia="黑体" w:cs="黑体"/>
          <w:b w:val="0"/>
          <w:bCs/>
          <w:color w:val="auto"/>
          <w:kern w:val="2"/>
          <w:sz w:val="32"/>
          <w:szCs w:val="32"/>
          <w:highlight w:val="none"/>
          <w:u w:val="none"/>
          <w:lang w:val="en-US" w:eastAsia="zh-CN" w:bidi="ar-SA"/>
          <w14:ligatures w14:val="standardContextual"/>
        </w:rPr>
        <w:t>构建优质均衡的公共服务体系</w:t>
      </w:r>
      <w:bookmarkEnd w:id="8"/>
    </w:p>
    <w:p w14:paraId="06FB70D5">
      <w:pPr>
        <w:ind w:firstLine="640"/>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落实国土空间总体规划公共服务设施配置标准和要求，深化完善公共服务设施布局。按照“县级—社区级”二级配置，其中社区级公共服务设施包括“</w:t>
      </w:r>
      <w:r>
        <w:rPr>
          <w:rFonts w:hint="eastAsia" w:ascii="仿宋" w:hAnsi="仿宋" w:eastAsia="仿宋" w:cs="仿宋"/>
          <w:bCs/>
          <w:kern w:val="2"/>
          <w:sz w:val="28"/>
          <w:szCs w:val="28"/>
          <w:highlight w:val="none"/>
          <w:lang w:val="en-US" w:eastAsia="zh-CN" w:bidi="ar"/>
        </w:rPr>
        <w:t>15</w:t>
      </w:r>
      <w:r>
        <w:rPr>
          <w:rFonts w:hint="eastAsia" w:ascii="仿宋" w:hAnsi="仿宋" w:eastAsia="仿宋" w:cs="仿宋"/>
          <w:color w:val="auto"/>
          <w:sz w:val="28"/>
          <w:szCs w:val="21"/>
          <w:highlight w:val="none"/>
          <w:u w:val="none"/>
          <w:lang w:val="en-US" w:eastAsia="zh-CN"/>
        </w:rPr>
        <w:t>分钟、</w:t>
      </w:r>
      <w:r>
        <w:rPr>
          <w:rFonts w:hint="eastAsia" w:ascii="仿宋" w:hAnsi="仿宋" w:eastAsia="仿宋" w:cs="仿宋"/>
          <w:bCs/>
          <w:kern w:val="2"/>
          <w:sz w:val="28"/>
          <w:szCs w:val="28"/>
          <w:highlight w:val="none"/>
          <w:lang w:val="en-US" w:eastAsia="zh-CN" w:bidi="ar"/>
        </w:rPr>
        <w:t>5-10</w:t>
      </w:r>
      <w:r>
        <w:rPr>
          <w:rFonts w:hint="eastAsia" w:ascii="仿宋" w:hAnsi="仿宋" w:eastAsia="仿宋" w:cs="仿宋"/>
          <w:color w:val="auto"/>
          <w:sz w:val="28"/>
          <w:szCs w:val="21"/>
          <w:highlight w:val="none"/>
          <w:u w:val="none"/>
          <w:lang w:val="en-US" w:eastAsia="zh-CN"/>
        </w:rPr>
        <w:t>分钟”两个社区生活圈层级</w:t>
      </w:r>
      <w:r>
        <w:rPr>
          <w:rFonts w:hint="eastAsia" w:ascii="仿宋" w:hAnsi="仿宋" w:eastAsia="仿宋" w:cs="仿宋"/>
          <w:color w:val="auto"/>
          <w:sz w:val="28"/>
          <w:szCs w:val="21"/>
          <w:highlight w:val="none"/>
          <w:u w:val="none"/>
        </w:rPr>
        <w:t>。</w:t>
      </w:r>
    </w:p>
    <w:p w14:paraId="6AB60546">
      <w:pPr>
        <w:rPr>
          <w:rFonts w:hint="eastAsia" w:ascii="仿宋" w:hAnsi="仿宋" w:eastAsia="仿宋" w:cs="仿宋"/>
          <w:color w:val="auto"/>
          <w:sz w:val="28"/>
          <w:szCs w:val="22"/>
          <w:highlight w:val="none"/>
          <w:u w:val="none"/>
          <w:lang w:val="en-US" w:eastAsia="zh-CN"/>
        </w:rPr>
      </w:pPr>
      <w:r>
        <w:rPr>
          <w:rFonts w:hint="eastAsia" w:ascii="仿宋" w:hAnsi="仿宋" w:eastAsia="仿宋" w:cs="仿宋"/>
          <w:bCs/>
          <w:kern w:val="2"/>
          <w:sz w:val="28"/>
          <w:szCs w:val="28"/>
          <w:highlight w:val="none"/>
          <w:lang w:val="en-US" w:eastAsia="zh-CN" w:bidi="ar"/>
        </w:rPr>
        <w:t>15</w:t>
      </w:r>
      <w:r>
        <w:rPr>
          <w:rFonts w:hint="eastAsia" w:ascii="仿宋" w:hAnsi="仿宋" w:eastAsia="仿宋" w:cs="仿宋"/>
          <w:color w:val="auto"/>
          <w:sz w:val="28"/>
          <w:szCs w:val="22"/>
          <w:highlight w:val="none"/>
          <w:u w:val="none"/>
          <w:lang w:val="en-US" w:eastAsia="zh-CN"/>
        </w:rPr>
        <w:t>分钟社区生活圈集中了社区行政管理和事务性服务功能、社区文化活动中心、养老养护院、卫生服务中心、商场、超市等休闲活动和休闲服务设施。社区行政管理和事务性服务功能包括街道办事处、社区政务服务中心、司法所</w:t>
      </w:r>
      <w:r>
        <w:rPr>
          <w:rFonts w:hint="eastAsia" w:ascii="仿宋" w:hAnsi="仿宋" w:eastAsia="仿宋" w:cs="仿宋"/>
          <w:bCs/>
          <w:kern w:val="2"/>
          <w:sz w:val="28"/>
          <w:szCs w:val="28"/>
          <w:highlight w:val="none"/>
          <w:lang w:val="en-US" w:eastAsia="zh-CN" w:bidi="ar"/>
        </w:rPr>
        <w:t>3</w:t>
      </w:r>
      <w:r>
        <w:rPr>
          <w:rFonts w:hint="eastAsia" w:ascii="仿宋" w:hAnsi="仿宋" w:eastAsia="仿宋" w:cs="仿宋"/>
          <w:color w:val="auto"/>
          <w:sz w:val="28"/>
          <w:szCs w:val="22"/>
          <w:highlight w:val="none"/>
          <w:u w:val="none"/>
          <w:lang w:val="en-US" w:eastAsia="zh-CN"/>
        </w:rPr>
        <w:t>类设施。</w:t>
      </w:r>
    </w:p>
    <w:p w14:paraId="518673BC">
      <w:pPr>
        <w:ind w:firstLine="640"/>
        <w:rPr>
          <w:rFonts w:hint="eastAsia" w:ascii="仿宋" w:hAnsi="仿宋" w:eastAsia="仿宋" w:cs="仿宋"/>
          <w:color w:val="auto"/>
          <w:sz w:val="28"/>
          <w:szCs w:val="22"/>
          <w:highlight w:val="none"/>
          <w:u w:val="none"/>
        </w:rPr>
      </w:pPr>
      <w:r>
        <w:rPr>
          <w:rFonts w:hint="eastAsia" w:ascii="仿宋" w:hAnsi="仿宋" w:eastAsia="仿宋" w:cs="仿宋"/>
          <w:bCs/>
          <w:kern w:val="2"/>
          <w:sz w:val="28"/>
          <w:szCs w:val="28"/>
          <w:highlight w:val="none"/>
          <w:lang w:val="en-US" w:eastAsia="zh-CN" w:bidi="ar"/>
        </w:rPr>
        <w:t>5-10</w:t>
      </w:r>
      <w:r>
        <w:rPr>
          <w:rFonts w:hint="eastAsia" w:ascii="仿宋" w:hAnsi="仿宋" w:eastAsia="仿宋" w:cs="仿宋"/>
          <w:color w:val="auto"/>
          <w:sz w:val="28"/>
          <w:szCs w:val="22"/>
          <w:highlight w:val="none"/>
          <w:u w:val="none"/>
          <w:lang w:val="en-US" w:eastAsia="zh-CN"/>
        </w:rPr>
        <w:t>分钟社区生活圈将所需的社区服务站、文化活动站、社区食堂、托儿所、托老所、卫生服</w:t>
      </w:r>
      <w:r>
        <w:rPr>
          <w:rFonts w:hint="eastAsia" w:ascii="仿宋" w:hAnsi="仿宋" w:eastAsia="仿宋" w:cs="仿宋"/>
          <w:color w:val="auto"/>
          <w:sz w:val="28"/>
          <w:szCs w:val="22"/>
          <w:highlight w:val="none"/>
          <w:u w:val="none"/>
        </w:rPr>
        <w:t>务站等集中布置。</w:t>
      </w:r>
    </w:p>
    <w:p w14:paraId="5BC321CF">
      <w:pPr>
        <w:pStyle w:val="2"/>
        <w:numPr>
          <w:ilvl w:val="1"/>
          <w:numId w:val="0"/>
        </w:numPr>
        <w:snapToGrid w:val="0"/>
        <w:ind w:firstLine="640" w:firstLineChars="200"/>
        <w:rPr>
          <w:rFonts w:hint="eastAsia" w:ascii="黑体" w:hAnsi="黑体" w:eastAsia="黑体" w:cs="黑体"/>
          <w:b w:val="0"/>
          <w:bCs/>
          <w:color w:val="auto"/>
          <w:kern w:val="2"/>
          <w:sz w:val="32"/>
          <w:szCs w:val="32"/>
          <w:highlight w:val="none"/>
          <w:u w:val="none"/>
          <w:lang w:val="en-US" w:eastAsia="zh-CN" w:bidi="ar-SA"/>
          <w14:ligatures w14:val="standardContextual"/>
        </w:rPr>
      </w:pPr>
      <w:bookmarkStart w:id="9" w:name="_Toc12794"/>
      <w:r>
        <w:rPr>
          <w:rFonts w:hint="eastAsia" w:ascii="黑体" w:hAnsi="黑体" w:cs="黑体"/>
          <w:b w:val="0"/>
          <w:bCs/>
          <w:color w:val="auto"/>
          <w:kern w:val="2"/>
          <w:sz w:val="32"/>
          <w:szCs w:val="32"/>
          <w:highlight w:val="none"/>
          <w:u w:val="none"/>
          <w:lang w:val="en-US" w:eastAsia="zh-CN" w:bidi="ar-SA"/>
          <w14:ligatures w14:val="standardContextual"/>
        </w:rPr>
        <w:t>八</w:t>
      </w:r>
      <w:r>
        <w:rPr>
          <w:rFonts w:hint="eastAsia" w:ascii="黑体" w:hAnsi="黑体" w:eastAsia="黑体" w:cs="黑体"/>
          <w:b w:val="0"/>
          <w:bCs/>
          <w:color w:val="auto"/>
          <w:kern w:val="2"/>
          <w:sz w:val="32"/>
          <w:szCs w:val="32"/>
          <w:highlight w:val="none"/>
          <w:u w:val="none"/>
          <w:lang w:val="en-US" w:eastAsia="zh-CN" w:bidi="ar-SA"/>
          <w14:ligatures w14:val="standardContextual"/>
        </w:rPr>
        <w:t>、建设便捷高效的综合交通体系</w:t>
      </w:r>
      <w:bookmarkEnd w:id="9"/>
    </w:p>
    <w:p w14:paraId="7CE5B68C">
      <w:pPr>
        <w:ind w:firstLine="640"/>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Cs/>
          <w:sz w:val="28"/>
          <w:szCs w:val="28"/>
          <w:highlight w:val="none"/>
          <w:lang w:val="en-US" w:eastAsia="zh-CN" w:bidi="ar"/>
        </w:rPr>
        <w:t>城区道路网采用以方格网为主，环路和放射路相结合的方式，由主干路、次干路和支路三个级别构成。</w:t>
      </w:r>
      <w:r>
        <w:rPr>
          <w:rFonts w:hint="eastAsia" w:ascii="仿宋" w:hAnsi="仿宋" w:eastAsia="仿宋" w:cs="仿宋"/>
          <w:b w:val="0"/>
          <w:bCs/>
          <w:sz w:val="28"/>
          <w:szCs w:val="28"/>
          <w:lang w:val="en-US" w:eastAsia="zh-CN" w:bidi="ar"/>
        </w:rPr>
        <w:t>规划构建“十横十四纵”主干路网</w:t>
      </w:r>
      <w:r>
        <w:rPr>
          <w:rFonts w:hint="eastAsia" w:ascii="仿宋" w:hAnsi="仿宋" w:eastAsia="仿宋" w:cs="仿宋"/>
          <w:b w:val="0"/>
          <w:bCs/>
          <w:color w:val="auto"/>
          <w:sz w:val="28"/>
          <w:szCs w:val="28"/>
          <w:highlight w:val="none"/>
          <w:lang w:val="en-US" w:eastAsia="zh-CN" w:bidi="ar"/>
        </w:rPr>
        <w:t>和“</w:t>
      </w:r>
      <w:r>
        <w:rPr>
          <w:rFonts w:hint="eastAsia" w:ascii="仿宋" w:hAnsi="仿宋" w:eastAsia="仿宋" w:cs="仿宋"/>
          <w:bCs/>
          <w:color w:val="auto"/>
          <w:sz w:val="28"/>
          <w:szCs w:val="28"/>
          <w:highlight w:val="none"/>
          <w:lang w:val="en-US" w:eastAsia="zh-CN" w:bidi="ar"/>
        </w:rPr>
        <w:t>九横十六纵”次干路网</w:t>
      </w:r>
      <w:r>
        <w:rPr>
          <w:rFonts w:hint="eastAsia" w:ascii="仿宋" w:hAnsi="仿宋" w:eastAsia="仿宋" w:cs="仿宋"/>
          <w:b w:val="0"/>
          <w:bCs/>
          <w:color w:val="auto"/>
          <w:sz w:val="28"/>
          <w:szCs w:val="28"/>
          <w:highlight w:val="none"/>
          <w:lang w:val="en-US" w:eastAsia="zh-CN" w:bidi="ar"/>
        </w:rPr>
        <w:t>。</w:t>
      </w:r>
    </w:p>
    <w:p w14:paraId="559AC30B">
      <w:pPr>
        <w:ind w:firstLine="640"/>
        <w:rPr>
          <w:rFonts w:hint="eastAsia" w:ascii="仿宋" w:hAnsi="仿宋" w:eastAsia="仿宋" w:cs="仿宋"/>
          <w:b w:val="0"/>
          <w:bCs/>
          <w:color w:val="auto"/>
          <w:sz w:val="28"/>
          <w:szCs w:val="28"/>
          <w:highlight w:val="none"/>
          <w:lang w:val="en-US" w:eastAsia="zh-CN" w:bidi="ar"/>
        </w:rPr>
      </w:pPr>
      <w:r>
        <w:rPr>
          <w:rFonts w:hint="eastAsia" w:ascii="仿宋" w:hAnsi="仿宋" w:eastAsia="仿宋" w:cs="仿宋"/>
          <w:b w:val="0"/>
          <w:bCs/>
          <w:color w:val="auto"/>
          <w:sz w:val="28"/>
          <w:szCs w:val="28"/>
          <w:highlight w:val="none"/>
          <w:lang w:val="en-US" w:eastAsia="zh-CN" w:bidi="ar"/>
        </w:rPr>
        <w:t xml:space="preserve">贯彻落实公共交通优先发展的政策，规划和建设高水平的公共设施系统。统筹城乡公交系统，注重公交网络的布局均衡与换乘方便，满足未来居民对公交服务水平的要求。 </w:t>
      </w:r>
    </w:p>
    <w:p w14:paraId="748E3F1B">
      <w:pPr>
        <w:ind w:firstLine="640"/>
        <w:rPr>
          <w:rFonts w:hint="eastAsia" w:ascii="仿宋" w:hAnsi="仿宋" w:eastAsia="仿宋" w:cs="仿宋"/>
          <w:bCs/>
          <w:sz w:val="28"/>
          <w:szCs w:val="28"/>
          <w:highlight w:val="none"/>
          <w:lang w:val="en-US" w:eastAsia="zh-CN" w:bidi="ar"/>
        </w:rPr>
      </w:pPr>
      <w:r>
        <w:rPr>
          <w:rFonts w:hint="eastAsia" w:ascii="仿宋" w:hAnsi="仿宋" w:eastAsia="仿宋" w:cs="仿宋"/>
          <w:bCs/>
          <w:sz w:val="28"/>
          <w:szCs w:val="28"/>
          <w:highlight w:val="none"/>
          <w:lang w:val="en-US" w:eastAsia="zh-CN" w:bidi="ar"/>
        </w:rPr>
        <w:t>坚持节约资源原则，贯彻“供需统筹、以供定需”的规划理念，明确停车配建标准，统筹布局社会停车场，规划形成“配建为主体、公共停车为辅助、路内停车为补充”的停车供应格局。</w:t>
      </w:r>
    </w:p>
    <w:p w14:paraId="56351898">
      <w:pPr>
        <w:keepLines w:val="0"/>
        <w:pageBreakBefore w:val="0"/>
        <w:widowControl w:val="0"/>
        <w:kinsoku/>
        <w:wordWrap/>
        <w:overflowPunct/>
        <w:topLinePunct w:val="0"/>
        <w:autoSpaceDE/>
        <w:autoSpaceDN/>
        <w:bidi w:val="0"/>
        <w:adjustRightInd w:val="0"/>
        <w:ind w:left="0" w:leftChars="0" w:firstLine="640" w:firstLineChars="200"/>
        <w:jc w:val="left"/>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九、规划实施</w:t>
      </w:r>
    </w:p>
    <w:p w14:paraId="597887A1">
      <w:pPr>
        <w:keepNext w:val="0"/>
        <w:keepLines w:val="0"/>
        <w:pageBreakBefore w:val="0"/>
        <w:widowControl w:val="0"/>
        <w:kinsoku/>
        <w:wordWrap/>
        <w:overflowPunct/>
        <w:topLinePunct w:val="0"/>
        <w:autoSpaceDE/>
        <w:autoSpaceDN/>
        <w:bidi w:val="0"/>
        <w:adjustRightInd w:val="0"/>
        <w:snapToGrid/>
        <w:ind w:firstLine="560" w:firstLineChars="200"/>
        <w:jc w:val="both"/>
        <w:textAlignment w:val="auto"/>
        <w:rPr>
          <w:rFonts w:hint="eastAsia" w:ascii="仿宋" w:hAnsi="仿宋" w:eastAsia="仿宋" w:cs="仿宋"/>
          <w:b w:val="0"/>
          <w:bCs w:val="0"/>
          <w:color w:val="auto"/>
          <w:sz w:val="28"/>
          <w:szCs w:val="22"/>
          <w:highlight w:val="none"/>
          <w:u w:val="none"/>
          <w:lang w:val="en-US" w:eastAsia="zh-CN"/>
        </w:rPr>
      </w:pPr>
      <w:r>
        <w:rPr>
          <w:rFonts w:hint="eastAsia" w:ascii="仿宋" w:hAnsi="仿宋" w:eastAsia="仿宋" w:cs="仿宋"/>
          <w:b w:val="0"/>
          <w:bCs w:val="0"/>
          <w:color w:val="auto"/>
          <w:sz w:val="28"/>
          <w:szCs w:val="22"/>
          <w:highlight w:val="none"/>
          <w:u w:val="none"/>
          <w:lang w:val="en-US" w:eastAsia="zh-CN"/>
        </w:rPr>
        <w:t>严格按照高起点规划、高标准建设、高质量发展要求，完善规划</w:t>
      </w:r>
    </w:p>
    <w:p w14:paraId="0732EAE6">
      <w:pPr>
        <w:keepNext w:val="0"/>
        <w:keepLines w:val="0"/>
        <w:pageBreakBefore w:val="0"/>
        <w:widowControl w:val="0"/>
        <w:kinsoku/>
        <w:wordWrap/>
        <w:overflowPunct/>
        <w:topLinePunct w:val="0"/>
        <w:autoSpaceDE/>
        <w:autoSpaceDN/>
        <w:bidi w:val="0"/>
        <w:adjustRightInd w:val="0"/>
        <w:snapToGrid/>
        <w:ind w:left="0" w:leftChars="0" w:firstLine="0" w:firstLineChars="0"/>
        <w:jc w:val="both"/>
        <w:textAlignment w:val="auto"/>
        <w:rPr>
          <w:rFonts w:hint="eastAsia" w:ascii="仿宋" w:hAnsi="仿宋" w:eastAsia="仿宋" w:cs="仿宋"/>
          <w:b w:val="0"/>
          <w:bCs w:val="0"/>
          <w:color w:val="auto"/>
          <w:sz w:val="28"/>
          <w:szCs w:val="22"/>
          <w:highlight w:val="none"/>
          <w:u w:val="none"/>
          <w:lang w:val="en-US" w:eastAsia="zh-CN"/>
        </w:rPr>
      </w:pPr>
      <w:r>
        <w:rPr>
          <w:rFonts w:hint="eastAsia" w:ascii="仿宋" w:hAnsi="仿宋" w:eastAsia="仿宋" w:cs="仿宋"/>
          <w:b w:val="0"/>
          <w:bCs w:val="0"/>
          <w:color w:val="auto"/>
          <w:sz w:val="28"/>
          <w:szCs w:val="22"/>
          <w:highlight w:val="none"/>
          <w:u w:val="none"/>
          <w:lang w:val="en-US" w:eastAsia="zh-CN"/>
        </w:rPr>
        <w:t>管理机制。将详细规划成果纳入数据库，建设全县详细规划“一张图”实施监督系统，依法、规范、统一、高效和高质量地推进规划实施，支撑规划全生命周期管理。严格依据详细规划，实施国土空用途管制、核发城乡建设项目规划许可以及实施城乡开发建设、整治更新和保护修复活动，激发发展活力，促进高质量发展。</w:t>
      </w:r>
    </w:p>
    <w:p w14:paraId="4DDA5D8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94A0A"/>
    <w:multiLevelType w:val="multilevel"/>
    <w:tmpl w:val="04C94A0A"/>
    <w:lvl w:ilvl="0" w:tentative="0">
      <w:start w:val="1"/>
      <w:numFmt w:val="chineseCountingThousand"/>
      <w:lvlText w:val="第%1章"/>
      <w:lvlJc w:val="left"/>
      <w:pPr>
        <w:ind w:left="432" w:hanging="432"/>
      </w:pPr>
      <w:rPr>
        <w:rFonts w:hint="eastAsia"/>
      </w:rPr>
    </w:lvl>
    <w:lvl w:ilvl="1" w:tentative="0">
      <w:start w:val="1"/>
      <w:numFmt w:val="chineseCountingThousand"/>
      <w:pStyle w:val="2"/>
      <w:lvlText w:val="第%2节"/>
      <w:lvlJc w:val="left"/>
      <w:pPr>
        <w:ind w:left="576" w:hanging="576"/>
      </w:pPr>
      <w:rPr>
        <w:rFonts w:hint="eastAsia"/>
      </w:rPr>
    </w:lvl>
    <w:lvl w:ilvl="2" w:tentative="0">
      <w:start w:val="1"/>
      <w:numFmt w:val="decimal"/>
      <w:lvlRestart w:val="0"/>
      <w:pStyle w:val="3"/>
      <w:suff w:val="space"/>
      <w:lvlText w:val="第%3条"/>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F5D49"/>
    <w:rsid w:val="4C6F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200" w:firstLineChars="200"/>
      <w:jc w:val="both"/>
    </w:pPr>
    <w:rPr>
      <w:rFonts w:ascii="仿宋_GB2312" w:eastAsia="仿宋_GB2312" w:hAnsiTheme="minorHAnsi" w:cstheme="minorBidi"/>
      <w:kern w:val="2"/>
      <w:sz w:val="32"/>
      <w:szCs w:val="22"/>
      <w:lang w:val="en-US" w:eastAsia="zh-CN" w:bidi="ar-SA"/>
      <w14:ligatures w14:val="standardContextual"/>
    </w:rPr>
  </w:style>
  <w:style w:type="paragraph" w:styleId="2">
    <w:name w:val="heading 2"/>
    <w:basedOn w:val="1"/>
    <w:next w:val="1"/>
    <w:unhideWhenUsed/>
    <w:qFormat/>
    <w:uiPriority w:val="9"/>
    <w:pPr>
      <w:numPr>
        <w:ilvl w:val="1"/>
        <w:numId w:val="1"/>
      </w:numPr>
      <w:ind w:firstLine="0" w:firstLineChars="0"/>
      <w:outlineLvl w:val="1"/>
    </w:pPr>
    <w:rPr>
      <w:rFonts w:eastAsia="黑体" w:asciiTheme="majorHAnsi" w:hAnsiTheme="majorHAnsi" w:cstheme="majorBidi"/>
      <w:bCs/>
      <w:szCs w:val="32"/>
    </w:rPr>
  </w:style>
  <w:style w:type="paragraph" w:styleId="3">
    <w:name w:val="heading 3"/>
    <w:basedOn w:val="1"/>
    <w:next w:val="1"/>
    <w:unhideWhenUsed/>
    <w:qFormat/>
    <w:uiPriority w:val="9"/>
    <w:pPr>
      <w:keepNext/>
      <w:numPr>
        <w:ilvl w:val="2"/>
        <w:numId w:val="1"/>
      </w:numPr>
      <w:ind w:firstLine="0" w:firstLineChars="0"/>
      <w:outlineLvl w:val="2"/>
    </w:pPr>
    <w:rPr>
      <w:rFonts w:eastAsia="黑体"/>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2025-09-17T07:08:00Z</dcterms:created>
  <dc:creator>胖小福</dc:creator>
  <cp:lastModifiedBy>胖小福</cp:lastModifiedBy>
  <dcterms:modified xsi:type="dcterms:W3CDTF">2025-09-17T07:09:30Z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811962838D68415991F7DB7EC164F216_11</vt:lpwstr>
  </property>
  <property fmtid="{D5CDD505-2E9C-101B-9397-08002B2CF9AE}" pid="4" name="KSOTemplateDocerSaveRecord">
    <vt:lpwstr>eyJoZGlkIjoiYWVmYTZlZTgxOGFmMTY4MTkxZjQwZWZiYTQyMzJkZTkiLCJ1c2VySWQiOiIzMTkyNjYxNzcifQ==</vt:lpwstr>
  </property>
</Properties>
</file>