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CA3E2">
      <w:pPr>
        <w:snapToGrid w:val="0"/>
        <w:rPr>
          <w:rFonts w:hint="eastAsia" w:ascii="仿宋_GB2312" w:hAnsi="仿宋_GB2312" w:cs="仿宋_GB2312"/>
          <w:szCs w:val="32"/>
        </w:rPr>
      </w:pPr>
      <w:r>
        <w:rPr>
          <w:rFonts w:hint="eastAsia" w:eastAsia="方正大标宋_GBK"/>
          <w:color w:val="FF0000"/>
          <w:spacing w:val="-45"/>
          <w:w w:val="89"/>
          <w:sz w:val="100"/>
          <w:szCs w:val="100"/>
        </w:rPr>
        <w:t>清河县住房和城乡建设局</w:t>
      </w:r>
    </w:p>
    <w:p w14:paraId="091B40E7">
      <w:pPr>
        <w:pBdr>
          <w:bottom w:val="single" w:color="FF0000" w:sz="18" w:space="1"/>
        </w:pBdr>
        <w:spacing w:before="480"/>
        <w:jc w:val="center"/>
        <w:rPr>
          <w:szCs w:val="32"/>
        </w:rPr>
      </w:pPr>
      <w:r>
        <w:rPr>
          <w:rFonts w:hint="eastAsia" w:ascii="仿宋_GB2312" w:hAnsi="仿宋_GB2312" w:cs="仿宋_GB2312"/>
          <w:szCs w:val="32"/>
        </w:rPr>
        <w:t>清建</w:t>
      </w:r>
      <w:r>
        <w:rPr>
          <w:rFonts w:hint="eastAsia" w:ascii="仿宋_GB2312" w:hAnsi="仿宋_GB2312" w:cs="仿宋_GB2312"/>
          <w:szCs w:val="32"/>
          <w:lang w:eastAsia="zh-CN"/>
        </w:rPr>
        <w:t>双随机联</w:t>
      </w:r>
      <w:r>
        <w:rPr>
          <w:rFonts w:hint="eastAsia" w:ascii="仿宋_GB2312" w:hAnsi="仿宋_GB2312" w:cs="仿宋_GB2312"/>
          <w:szCs w:val="32"/>
        </w:rPr>
        <w:t>〔202</w:t>
      </w:r>
      <w:r>
        <w:rPr>
          <w:rFonts w:hint="eastAsia" w:ascii="仿宋_GB2312" w:hAnsi="仿宋_GB2312" w:cs="仿宋_GB2312"/>
          <w:szCs w:val="32"/>
          <w:lang w:val="en-US" w:eastAsia="zh-CN"/>
        </w:rPr>
        <w:t>5</w:t>
      </w:r>
      <w:r>
        <w:rPr>
          <w:rFonts w:hint="eastAsia" w:ascii="仿宋_GB2312" w:hAnsi="仿宋_GB2312" w:cs="仿宋_GB2312"/>
          <w:szCs w:val="32"/>
        </w:rPr>
        <w:t>〕</w:t>
      </w:r>
      <w:r>
        <w:rPr>
          <w:rFonts w:hint="eastAsia" w:ascii="仿宋_GB2312" w:hAnsi="仿宋_GB2312" w:cs="仿宋_GB2312"/>
          <w:szCs w:val="32"/>
          <w:lang w:val="en-US" w:eastAsia="zh-CN"/>
        </w:rPr>
        <w:t>4</w:t>
      </w:r>
      <w:r>
        <w:rPr>
          <w:rFonts w:hint="eastAsia" w:ascii="仿宋_GB2312" w:hAnsi="仿宋_GB2312" w:cs="仿宋_GB2312"/>
          <w:szCs w:val="32"/>
        </w:rPr>
        <w:t>号</w:t>
      </w:r>
    </w:p>
    <w:p w14:paraId="14D65A35">
      <w:pPr>
        <w:jc w:val="center"/>
        <w:rPr>
          <w:rFonts w:asciiTheme="majorHAnsi" w:hAnsiTheme="majorHAnsi"/>
          <w:b/>
          <w:bCs/>
          <w:sz w:val="44"/>
          <w:szCs w:val="44"/>
        </w:rPr>
      </w:pPr>
    </w:p>
    <w:p w14:paraId="3A8B8373">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印发《</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年建筑施工企业</w:t>
      </w:r>
      <w:r>
        <w:rPr>
          <w:rFonts w:hint="eastAsia" w:ascii="方正小标宋简体" w:hAnsi="方正小标宋简体" w:eastAsia="方正小标宋简体" w:cs="方正小标宋简体"/>
          <w:sz w:val="44"/>
          <w:szCs w:val="44"/>
          <w:lang w:eastAsia="zh-CN"/>
        </w:rPr>
        <w:t>“双随机、一公开”</w:t>
      </w:r>
      <w:r>
        <w:rPr>
          <w:rFonts w:hint="eastAsia" w:ascii="方正小标宋简体" w:hAnsi="方正小标宋简体" w:eastAsia="方正小标宋简体" w:cs="方正小标宋简体"/>
          <w:sz w:val="44"/>
          <w:szCs w:val="44"/>
        </w:rPr>
        <w:t>部门联合随机抽查</w:t>
      </w:r>
      <w:r>
        <w:rPr>
          <w:rFonts w:hint="eastAsia" w:ascii="方正小标宋简体" w:hAnsi="方正小标宋简体" w:eastAsia="方正小标宋简体" w:cs="方正小标宋简体"/>
          <w:sz w:val="44"/>
          <w:szCs w:val="44"/>
          <w:lang w:eastAsia="zh-CN"/>
        </w:rPr>
        <w:t>工作实施方案》的</w:t>
      </w:r>
    </w:p>
    <w:p w14:paraId="5279B12C">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通</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知</w:t>
      </w:r>
    </w:p>
    <w:p w14:paraId="33A705EE">
      <w:pPr>
        <w:spacing w:line="600" w:lineRule="exact"/>
        <w:rPr>
          <w:rFonts w:hint="eastAsia" w:ascii="仿宋_GB2312" w:hAnsi="仿宋_GB2312" w:cs="仿宋_GB2312"/>
          <w:color w:val="auto"/>
          <w:kern w:val="0"/>
          <w:szCs w:val="32"/>
          <w:highlight w:val="none"/>
          <w:shd w:val="clear" w:color="auto" w:fill="FFFFFF"/>
          <w:lang w:eastAsia="zh-CN"/>
        </w:rPr>
      </w:pPr>
      <w:r>
        <w:rPr>
          <w:rFonts w:hint="eastAsia" w:ascii="仿宋_GB2312" w:hAnsi="仿宋_GB2312" w:cs="仿宋_GB2312"/>
          <w:color w:val="000000"/>
          <w:kern w:val="0"/>
          <w:szCs w:val="32"/>
          <w:shd w:val="clear" w:color="auto" w:fill="FFFFFF"/>
          <w:lang w:eastAsia="zh-CN"/>
        </w:rPr>
        <w:t>人力资源和社会保障局：</w:t>
      </w:r>
    </w:p>
    <w:p w14:paraId="0509BD9B">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lang w:val="en-US" w:eastAsia="zh-CN"/>
        </w:rPr>
        <w:t>按照市、县“双</w:t>
      </w:r>
      <w:bookmarkStart w:id="0" w:name="_GoBack"/>
      <w:bookmarkEnd w:id="0"/>
      <w:r>
        <w:rPr>
          <w:rFonts w:hint="eastAsia" w:ascii="仿宋_GB2312" w:hAnsi="仿宋_GB2312" w:eastAsia="仿宋_GB2312" w:cs="仿宋_GB2312"/>
          <w:color w:val="auto"/>
          <w:sz w:val="32"/>
          <w:szCs w:val="32"/>
          <w:lang w:val="en-US" w:eastAsia="zh-CN"/>
        </w:rPr>
        <w:t>随机、一公开”工作要求，县</w:t>
      </w:r>
      <w:r>
        <w:rPr>
          <w:rFonts w:hint="eastAsia" w:ascii="仿宋_GB2312" w:hAnsi="仿宋_GB2312" w:cs="仿宋_GB2312"/>
          <w:color w:val="auto"/>
          <w:sz w:val="32"/>
          <w:szCs w:val="32"/>
          <w:lang w:val="en-US" w:eastAsia="zh-CN"/>
        </w:rPr>
        <w:t>住房和城乡建设局牵头，</w:t>
      </w:r>
      <w:r>
        <w:rPr>
          <w:rFonts w:hint="eastAsia" w:ascii="仿宋_GB2312" w:hAnsi="仿宋_GB2312" w:eastAsia="仿宋_GB2312" w:cs="仿宋_GB2312"/>
          <w:color w:val="auto"/>
          <w:sz w:val="32"/>
          <w:szCs w:val="32"/>
          <w:lang w:val="en-US" w:eastAsia="zh-CN"/>
        </w:rPr>
        <w:t>制定了《202</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年建筑施工企业“双随机、一公开”部门联合随机抽查工作实施方案》，现印发给你们，请认真贯彻落实。</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DOCVARIABLE \* MERGEFORMAT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DOCVARIABLE 正文 \* MERGEFORMAT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fldChar w:fldCharType="end"/>
      </w:r>
    </w:p>
    <w:p w14:paraId="29108EC1">
      <w:pPr>
        <w:keepNext w:val="0"/>
        <w:keepLines w:val="0"/>
        <w:pageBreakBefore w:val="0"/>
        <w:widowControl w:val="0"/>
        <w:kinsoku/>
        <w:overflowPunct/>
        <w:topLinePunct w:val="0"/>
        <w:autoSpaceDE/>
        <w:autoSpaceDN/>
        <w:bidi w:val="0"/>
        <w:adjustRightInd/>
        <w:spacing w:beforeLines="0" w:afterLines="0" w:line="560" w:lineRule="exact"/>
        <w:jc w:val="both"/>
        <w:textAlignment w:val="auto"/>
        <w:rPr>
          <w:rFonts w:hint="eastAsia" w:ascii="仿宋_GB2312" w:hAnsi="仿宋_GB2312" w:eastAsia="仿宋_GB2312" w:cs="仿宋_GB2312"/>
          <w:color w:val="FF0000"/>
          <w:sz w:val="32"/>
          <w:szCs w:val="32"/>
        </w:rPr>
      </w:pPr>
    </w:p>
    <w:p w14:paraId="6B365645">
      <w:pPr>
        <w:keepNext w:val="0"/>
        <w:keepLines w:val="0"/>
        <w:pageBreakBefore w:val="0"/>
        <w:widowControl w:val="0"/>
        <w:kinsoku/>
        <w:wordWrap w:val="0"/>
        <w:overflowPunct/>
        <w:topLinePunct w:val="0"/>
        <w:autoSpaceDE/>
        <w:autoSpaceDN/>
        <w:bidi w:val="0"/>
        <w:adjustRightInd/>
        <w:spacing w:beforeLines="0" w:afterLines="0" w:line="560" w:lineRule="exact"/>
        <w:jc w:val="right"/>
        <w:textAlignment w:val="auto"/>
        <w:rPr>
          <w:rFonts w:hint="eastAsia" w:ascii="仿宋_GB2312" w:hAnsi="仿宋_GB2312" w:cs="仿宋_GB2312"/>
          <w:color w:val="auto"/>
          <w:kern w:val="0"/>
          <w:szCs w:val="32"/>
          <w:highlight w:val="none"/>
          <w:shd w:val="clear" w:color="auto" w:fill="FFFFFF"/>
          <w:lang w:eastAsia="zh-CN"/>
        </w:rPr>
      </w:pPr>
    </w:p>
    <w:p w14:paraId="1D3243E1">
      <w:pPr>
        <w:keepNext w:val="0"/>
        <w:keepLines w:val="0"/>
        <w:pageBreakBefore w:val="0"/>
        <w:widowControl w:val="0"/>
        <w:kinsoku/>
        <w:wordWrap w:val="0"/>
        <w:overflowPunct/>
        <w:topLinePunct w:val="0"/>
        <w:autoSpaceDE/>
        <w:autoSpaceDN/>
        <w:bidi w:val="0"/>
        <w:adjustRightInd/>
        <w:spacing w:beforeLines="0" w:afterLines="0" w:line="560" w:lineRule="exact"/>
        <w:jc w:val="right"/>
        <w:textAlignment w:val="auto"/>
        <w:rPr>
          <w:rFonts w:hint="eastAsia" w:ascii="仿宋_GB2312" w:hAnsi="仿宋_GB2312" w:cs="仿宋_GB2312"/>
          <w:color w:val="auto"/>
          <w:kern w:val="0"/>
          <w:szCs w:val="32"/>
          <w:highlight w:val="none"/>
          <w:shd w:val="clear" w:color="auto" w:fill="FFFFFF"/>
          <w:lang w:eastAsia="zh-CN"/>
        </w:rPr>
      </w:pPr>
    </w:p>
    <w:p w14:paraId="6C3A7ED3">
      <w:pPr>
        <w:keepNext w:val="0"/>
        <w:keepLines w:val="0"/>
        <w:pageBreakBefore w:val="0"/>
        <w:widowControl w:val="0"/>
        <w:kinsoku/>
        <w:wordWrap w:val="0"/>
        <w:overflowPunct/>
        <w:topLinePunct w:val="0"/>
        <w:autoSpaceDE/>
        <w:autoSpaceDN/>
        <w:bidi w:val="0"/>
        <w:adjustRightInd/>
        <w:spacing w:beforeLines="0" w:afterLines="0" w:line="560" w:lineRule="exact"/>
        <w:jc w:val="right"/>
        <w:textAlignment w:val="auto"/>
        <w:rPr>
          <w:rFonts w:hint="eastAsia" w:ascii="仿宋_GB2312" w:hAnsi="仿宋_GB2312" w:cs="仿宋_GB2312"/>
          <w:color w:val="000000"/>
          <w:kern w:val="0"/>
          <w:szCs w:val="32"/>
          <w:shd w:val="clear" w:color="auto" w:fill="FFFFFF"/>
          <w:lang w:eastAsia="zh-CN"/>
        </w:rPr>
      </w:pPr>
      <w:r>
        <w:rPr>
          <w:rFonts w:hint="eastAsia" w:ascii="仿宋_GB2312" w:hAnsi="仿宋_GB2312" w:cs="仿宋_GB2312"/>
          <w:color w:val="auto"/>
          <w:kern w:val="0"/>
          <w:szCs w:val="32"/>
          <w:highlight w:val="none"/>
          <w:shd w:val="clear" w:color="auto" w:fill="FFFFFF"/>
          <w:lang w:eastAsia="zh-CN"/>
        </w:rPr>
        <w:t>清河县住房和城乡建设局</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p>
    <w:p w14:paraId="229BEF57">
      <w:pPr>
        <w:keepNext w:val="0"/>
        <w:keepLines w:val="0"/>
        <w:pageBreakBefore w:val="0"/>
        <w:widowControl w:val="0"/>
        <w:kinsoku/>
        <w:wordWrap w:val="0"/>
        <w:overflowPunct/>
        <w:topLinePunct w:val="0"/>
        <w:autoSpaceDE/>
        <w:autoSpaceDN/>
        <w:bidi w:val="0"/>
        <w:adjustRightInd/>
        <w:spacing w:beforeLines="0" w:afterLines="0" w:line="560" w:lineRule="exact"/>
        <w:ind w:right="0" w:firstLine="5440" w:firstLineChars="1700"/>
        <w:jc w:val="both"/>
        <w:textAlignment w:val="auto"/>
        <w:rPr>
          <w:rFonts w:hint="eastAsia" w:ascii="方正小标宋简体" w:hAnsi="方正小标宋简体" w:eastAsia="方正小标宋简体" w:cs="方正小标宋简体"/>
          <w:sz w:val="44"/>
          <w:szCs w:val="44"/>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lang w:val="en-US" w:eastAsia="zh-CN"/>
        </w:rPr>
        <w:t>日</w:t>
      </w:r>
    </w:p>
    <w:p w14:paraId="6FC362FD">
      <w:pPr>
        <w:spacing w:line="600" w:lineRule="exact"/>
        <w:jc w:val="center"/>
        <w:rPr>
          <w:rFonts w:hint="eastAsia" w:ascii="方正小标宋简体" w:hAnsi="方正小标宋简体" w:eastAsia="方正小标宋简体" w:cs="方正小标宋简体"/>
          <w:sz w:val="44"/>
          <w:szCs w:val="44"/>
        </w:rPr>
      </w:pPr>
    </w:p>
    <w:p w14:paraId="49AC99D9">
      <w:pPr>
        <w:spacing w:line="600" w:lineRule="exact"/>
        <w:jc w:val="center"/>
        <w:rPr>
          <w:rFonts w:hint="eastAsia" w:ascii="方正小标宋简体" w:hAnsi="方正小标宋简体" w:eastAsia="方正小标宋简体" w:cs="方正小标宋简体"/>
          <w:sz w:val="44"/>
          <w:szCs w:val="44"/>
        </w:rPr>
      </w:pPr>
    </w:p>
    <w:p w14:paraId="21B5A7D0">
      <w:pPr>
        <w:spacing w:line="600" w:lineRule="exact"/>
        <w:jc w:val="center"/>
        <w:rPr>
          <w:rFonts w:hint="eastAsia" w:ascii="方正小标宋简体" w:hAnsi="方正小标宋简体" w:eastAsia="方正小标宋简体" w:cs="方正小标宋简体"/>
          <w:sz w:val="44"/>
          <w:szCs w:val="44"/>
        </w:rPr>
      </w:pPr>
    </w:p>
    <w:p w14:paraId="59D1156F">
      <w:pPr>
        <w:spacing w:line="600" w:lineRule="exact"/>
        <w:jc w:val="center"/>
        <w:rPr>
          <w:rFonts w:ascii="仿宋_GB2312" w:hAnsi="仿宋_GB2312" w:cs="仿宋_GB2312"/>
          <w:szCs w:val="32"/>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年建筑施工企业</w:t>
      </w:r>
      <w:r>
        <w:rPr>
          <w:rFonts w:hint="eastAsia" w:ascii="方正小标宋简体" w:hAnsi="方正小标宋简体" w:eastAsia="方正小标宋简体" w:cs="方正小标宋简体"/>
          <w:sz w:val="44"/>
          <w:szCs w:val="44"/>
          <w:lang w:eastAsia="zh-CN"/>
        </w:rPr>
        <w:t>“双随机、一公开”</w:t>
      </w:r>
      <w:r>
        <w:rPr>
          <w:rFonts w:hint="eastAsia" w:ascii="方正小标宋简体" w:hAnsi="方正小标宋简体" w:eastAsia="方正小标宋简体" w:cs="方正小标宋简体"/>
          <w:sz w:val="44"/>
          <w:szCs w:val="44"/>
        </w:rPr>
        <w:t>部门联合随机抽查</w:t>
      </w:r>
      <w:r>
        <w:rPr>
          <w:rFonts w:hint="eastAsia" w:ascii="方正小标宋简体" w:hAnsi="方正小标宋简体" w:eastAsia="方正小标宋简体" w:cs="方正小标宋简体"/>
          <w:sz w:val="44"/>
          <w:szCs w:val="44"/>
          <w:lang w:eastAsia="zh-CN"/>
        </w:rPr>
        <w:t>工作实施方案</w:t>
      </w:r>
    </w:p>
    <w:p w14:paraId="2A3132B3">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为进一步推进我县“双随机、一公开”监管工作持续、广泛、深入地开展，按照“双随机、一公开”监管工作抽查计划，由</w:t>
      </w:r>
      <w:r>
        <w:rPr>
          <w:rFonts w:hint="eastAsia" w:ascii="仿宋_GB2312" w:hAnsi="仿宋_GB2312" w:eastAsia="仿宋_GB2312" w:cs="仿宋_GB2312"/>
          <w:color w:val="000000"/>
          <w:kern w:val="0"/>
          <w:szCs w:val="32"/>
          <w:shd w:val="clear" w:color="auto" w:fill="FFFFFF"/>
          <w:lang w:eastAsia="zh-CN"/>
        </w:rPr>
        <w:t>县住房和城乡建设局牵头，</w:t>
      </w:r>
      <w:r>
        <w:rPr>
          <w:rFonts w:hint="eastAsia" w:ascii="仿宋_GB2312" w:hAnsi="仿宋_GB2312" w:eastAsia="仿宋_GB2312" w:cs="仿宋_GB2312"/>
          <w:color w:val="auto"/>
          <w:kern w:val="0"/>
          <w:sz w:val="32"/>
          <w:szCs w:val="32"/>
          <w:lang w:val="en-US" w:eastAsia="zh-CN" w:bidi="ar-SA"/>
        </w:rPr>
        <w:t>县人社局配</w:t>
      </w:r>
      <w:r>
        <w:rPr>
          <w:rFonts w:hint="eastAsia" w:ascii="仿宋_GB2312" w:hAnsi="仿宋_GB2312" w:eastAsia="仿宋_GB2312" w:cs="仿宋_GB2312"/>
          <w:color w:val="000000"/>
          <w:kern w:val="0"/>
          <w:szCs w:val="32"/>
          <w:shd w:val="clear" w:color="auto" w:fill="FFFFFF"/>
          <w:lang w:eastAsia="zh-CN"/>
        </w:rPr>
        <w:t>合，</w:t>
      </w:r>
      <w:r>
        <w:rPr>
          <w:rFonts w:hint="eastAsia" w:ascii="仿宋_GB2312" w:hAnsi="仿宋_GB2312" w:eastAsia="仿宋_GB2312" w:cs="仿宋_GB2312"/>
          <w:color w:val="auto"/>
          <w:kern w:val="0"/>
          <w:sz w:val="32"/>
          <w:szCs w:val="32"/>
          <w:lang w:val="en-US" w:eastAsia="zh-CN" w:bidi="ar-SA"/>
        </w:rPr>
        <w:t>开展跨部门“双随机、一公开”抽查工作</w:t>
      </w:r>
      <w:r>
        <w:rPr>
          <w:rFonts w:hint="eastAsia" w:ascii="仿宋_GB2312" w:hAnsi="仿宋_GB2312" w:eastAsia="仿宋_GB2312" w:cs="仿宋_GB2312"/>
          <w:kern w:val="0"/>
          <w:sz w:val="32"/>
          <w:szCs w:val="32"/>
        </w:rPr>
        <w:t>，现制定如下方案</w:t>
      </w:r>
      <w:r>
        <w:rPr>
          <w:rFonts w:hint="eastAsia" w:ascii="仿宋_GB2312" w:hAnsi="仿宋_GB2312" w:eastAsia="仿宋_GB2312" w:cs="仿宋_GB2312"/>
          <w:kern w:val="0"/>
          <w:sz w:val="32"/>
          <w:szCs w:val="32"/>
          <w:lang w:eastAsia="zh-CN"/>
        </w:rPr>
        <w:t>。</w:t>
      </w:r>
    </w:p>
    <w:p w14:paraId="6C23801C">
      <w:pPr>
        <w:spacing w:line="600" w:lineRule="exact"/>
        <w:ind w:firstLine="640" w:firstLineChars="200"/>
        <w:rPr>
          <w:rFonts w:ascii="黑体" w:hAnsi="黑体" w:eastAsia="黑体" w:cs="黑体"/>
          <w:szCs w:val="32"/>
        </w:rPr>
      </w:pPr>
      <w:r>
        <w:rPr>
          <w:rFonts w:hint="eastAsia" w:ascii="黑体" w:hAnsi="黑体" w:eastAsia="黑体" w:cs="黑体"/>
          <w:szCs w:val="32"/>
        </w:rPr>
        <w:t>一、抽查时间</w:t>
      </w:r>
    </w:p>
    <w:p w14:paraId="6D662BE0">
      <w:pPr>
        <w:spacing w:line="600" w:lineRule="exact"/>
        <w:ind w:firstLine="640" w:firstLineChars="200"/>
        <w:rPr>
          <w:rFonts w:ascii="仿宋_GB2312" w:hAnsi="仿宋_GB2312" w:cs="仿宋_GB2312"/>
          <w:szCs w:val="32"/>
          <w:highlight w:val="none"/>
        </w:rPr>
      </w:pPr>
      <w:r>
        <w:rPr>
          <w:rFonts w:hint="eastAsia" w:ascii="仿宋_GB2312" w:hAnsi="仿宋_GB2312" w:cs="仿宋_GB2312"/>
          <w:szCs w:val="32"/>
          <w:highlight w:val="none"/>
        </w:rPr>
        <w:t>202</w:t>
      </w:r>
      <w:r>
        <w:rPr>
          <w:rFonts w:hint="eastAsia" w:ascii="仿宋_GB2312" w:hAnsi="仿宋_GB2312" w:cs="仿宋_GB2312"/>
          <w:szCs w:val="32"/>
          <w:highlight w:val="none"/>
          <w:lang w:val="en-US" w:eastAsia="zh-CN"/>
        </w:rPr>
        <w:t>5</w:t>
      </w:r>
      <w:r>
        <w:rPr>
          <w:rFonts w:hint="eastAsia" w:ascii="仿宋_GB2312" w:hAnsi="仿宋_GB2312" w:cs="仿宋_GB2312"/>
          <w:szCs w:val="32"/>
          <w:highlight w:val="none"/>
        </w:rPr>
        <w:t>年</w:t>
      </w:r>
      <w:r>
        <w:rPr>
          <w:rFonts w:hint="eastAsia" w:ascii="宋体" w:hAnsi="宋体" w:eastAsia="宋体" w:cs="宋体"/>
          <w:szCs w:val="32"/>
          <w:highlight w:val="none"/>
          <w:lang w:val="en-US" w:eastAsia="zh-CN"/>
        </w:rPr>
        <w:t>8</w:t>
      </w:r>
      <w:r>
        <w:rPr>
          <w:rFonts w:hint="eastAsia" w:ascii="仿宋_GB2312" w:hAnsi="仿宋_GB2312" w:cs="仿宋_GB2312"/>
          <w:szCs w:val="32"/>
          <w:highlight w:val="none"/>
        </w:rPr>
        <w:t>月</w:t>
      </w:r>
      <w:r>
        <w:rPr>
          <w:rFonts w:hint="eastAsia" w:ascii="仿宋_GB2312" w:hAnsi="仿宋_GB2312" w:cs="仿宋_GB2312"/>
          <w:szCs w:val="32"/>
          <w:highlight w:val="none"/>
          <w:lang w:val="en-US" w:eastAsia="zh-CN"/>
        </w:rPr>
        <w:t>1</w:t>
      </w:r>
      <w:r>
        <w:rPr>
          <w:rFonts w:hint="eastAsia" w:ascii="仿宋_GB2312" w:hAnsi="仿宋_GB2312" w:cs="仿宋_GB2312"/>
          <w:szCs w:val="32"/>
          <w:highlight w:val="none"/>
        </w:rPr>
        <w:t>日至202</w:t>
      </w:r>
      <w:r>
        <w:rPr>
          <w:rFonts w:hint="eastAsia" w:ascii="仿宋_GB2312" w:hAnsi="仿宋_GB2312" w:cs="仿宋_GB2312"/>
          <w:szCs w:val="32"/>
          <w:highlight w:val="none"/>
          <w:lang w:val="en-US" w:eastAsia="zh-CN"/>
        </w:rPr>
        <w:t>5</w:t>
      </w:r>
      <w:r>
        <w:rPr>
          <w:rFonts w:hint="eastAsia" w:ascii="仿宋_GB2312" w:hAnsi="仿宋_GB2312" w:cs="仿宋_GB2312"/>
          <w:szCs w:val="32"/>
          <w:highlight w:val="none"/>
        </w:rPr>
        <w:t>年</w:t>
      </w:r>
      <w:r>
        <w:rPr>
          <w:rFonts w:hint="eastAsia" w:ascii="宋体" w:hAnsi="宋体" w:eastAsia="宋体" w:cs="宋体"/>
          <w:szCs w:val="32"/>
          <w:highlight w:val="none"/>
          <w:lang w:val="en-US" w:eastAsia="zh-CN"/>
        </w:rPr>
        <w:t>8</w:t>
      </w:r>
      <w:r>
        <w:rPr>
          <w:rFonts w:hint="eastAsia" w:ascii="仿宋_GB2312" w:hAnsi="仿宋_GB2312" w:cs="仿宋_GB2312"/>
          <w:szCs w:val="32"/>
          <w:highlight w:val="none"/>
        </w:rPr>
        <w:t>月3</w:t>
      </w:r>
      <w:r>
        <w:rPr>
          <w:rFonts w:hint="eastAsia" w:ascii="仿宋_GB2312" w:hAnsi="仿宋_GB2312" w:cs="仿宋_GB2312"/>
          <w:szCs w:val="32"/>
          <w:highlight w:val="none"/>
          <w:lang w:val="en-US" w:eastAsia="zh-CN"/>
        </w:rPr>
        <w:t>1</w:t>
      </w:r>
      <w:r>
        <w:rPr>
          <w:rFonts w:hint="eastAsia" w:ascii="仿宋_GB2312" w:hAnsi="仿宋_GB2312" w:cs="仿宋_GB2312"/>
          <w:szCs w:val="32"/>
          <w:highlight w:val="none"/>
        </w:rPr>
        <w:t>日。</w:t>
      </w:r>
    </w:p>
    <w:p w14:paraId="78E51465">
      <w:pPr>
        <w:numPr>
          <w:ilvl w:val="0"/>
          <w:numId w:val="1"/>
        </w:numPr>
        <w:spacing w:line="600" w:lineRule="exact"/>
        <w:ind w:firstLine="640" w:firstLineChars="200"/>
        <w:rPr>
          <w:rFonts w:hint="default"/>
          <w:lang w:val="en-US" w:eastAsia="zh-CN"/>
        </w:rPr>
      </w:pPr>
      <w:r>
        <w:rPr>
          <w:rFonts w:hint="eastAsia" w:ascii="黑体" w:hAnsi="黑体" w:eastAsia="黑体" w:cs="黑体"/>
          <w:szCs w:val="32"/>
        </w:rPr>
        <w:t>抽查</w:t>
      </w:r>
      <w:r>
        <w:rPr>
          <w:rFonts w:hint="eastAsia" w:ascii="黑体" w:hAnsi="黑体" w:eastAsia="黑体" w:cs="黑体"/>
          <w:szCs w:val="32"/>
          <w:lang w:eastAsia="zh-CN"/>
        </w:rPr>
        <w:t>对象及范围</w:t>
      </w:r>
    </w:p>
    <w:p w14:paraId="3FB1F88E">
      <w:pPr>
        <w:numPr>
          <w:ilvl w:val="0"/>
          <w:numId w:val="0"/>
        </w:numPr>
        <w:spacing w:line="60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我县范围内所有报建施工</w:t>
      </w:r>
      <w:r>
        <w:rPr>
          <w:rFonts w:hint="eastAsia" w:ascii="仿宋_GB2312" w:hAnsi="仿宋_GB2312" w:cs="仿宋_GB2312"/>
          <w:color w:val="auto"/>
          <w:kern w:val="2"/>
          <w:sz w:val="32"/>
          <w:szCs w:val="32"/>
          <w:highlight w:val="none"/>
          <w:lang w:val="en-US" w:eastAsia="zh-CN" w:bidi="ar-SA"/>
        </w:rPr>
        <w:t>有</w:t>
      </w:r>
      <w:r>
        <w:rPr>
          <w:rFonts w:hint="eastAsia" w:ascii="仿宋_GB2312" w:hAnsi="仿宋_GB2312" w:eastAsia="仿宋_GB2312" w:cs="仿宋_GB2312"/>
          <w:color w:val="auto"/>
          <w:kern w:val="2"/>
          <w:sz w:val="32"/>
          <w:szCs w:val="32"/>
          <w:highlight w:val="none"/>
          <w:lang w:val="en-US" w:eastAsia="zh-CN" w:bidi="ar-SA"/>
        </w:rPr>
        <w:t>在建项目的</w:t>
      </w:r>
      <w:r>
        <w:rPr>
          <w:rFonts w:hint="eastAsia" w:ascii="仿宋_GB2312" w:hAnsi="仿宋_GB2312" w:cs="仿宋_GB2312"/>
          <w:color w:val="auto"/>
          <w:kern w:val="2"/>
          <w:sz w:val="32"/>
          <w:szCs w:val="32"/>
          <w:highlight w:val="none"/>
          <w:lang w:val="en-US" w:eastAsia="zh-CN" w:bidi="ar-SA"/>
        </w:rPr>
        <w:t>建筑</w:t>
      </w:r>
      <w:r>
        <w:rPr>
          <w:rFonts w:hint="eastAsia" w:ascii="仿宋_GB2312" w:hAnsi="仿宋_GB2312" w:eastAsia="仿宋_GB2312" w:cs="仿宋_GB2312"/>
          <w:color w:val="auto"/>
          <w:kern w:val="2"/>
          <w:sz w:val="32"/>
          <w:szCs w:val="32"/>
          <w:highlight w:val="none"/>
          <w:lang w:val="en-US" w:eastAsia="zh-CN" w:bidi="ar-SA"/>
        </w:rPr>
        <w:t>施工企业</w:t>
      </w:r>
      <w:r>
        <w:rPr>
          <w:rFonts w:hint="eastAsia" w:ascii="仿宋_GB2312" w:hAnsi="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0"/>
          <w:sz w:val="32"/>
          <w:szCs w:val="32"/>
          <w:lang w:val="en-US" w:eastAsia="zh-CN" w:bidi="ar-SA"/>
        </w:rPr>
        <w:t>充分运用信用风险分级分类进行本次部门联合抽查比例不低于10%。</w:t>
      </w:r>
    </w:p>
    <w:p w14:paraId="27568D52">
      <w:pPr>
        <w:spacing w:line="600" w:lineRule="exact"/>
        <w:ind w:firstLine="640" w:firstLineChars="200"/>
        <w:rPr>
          <w:rFonts w:hint="eastAsia" w:ascii="黑体" w:hAnsi="黑体" w:eastAsia="黑体" w:cs="黑体"/>
          <w:szCs w:val="32"/>
          <w:lang w:eastAsia="zh-CN"/>
        </w:rPr>
      </w:pPr>
      <w:r>
        <w:rPr>
          <w:rFonts w:hint="eastAsia" w:ascii="黑体" w:hAnsi="黑体" w:eastAsia="黑体" w:cs="黑体"/>
          <w:szCs w:val="32"/>
          <w:lang w:eastAsia="zh-CN"/>
        </w:rPr>
        <w:t>三、抽查实施部门</w:t>
      </w:r>
    </w:p>
    <w:p w14:paraId="53499B60">
      <w:pPr>
        <w:spacing w:line="600" w:lineRule="exact"/>
        <w:ind w:firstLine="640" w:firstLineChars="200"/>
        <w:rPr>
          <w:rFonts w:hint="eastAsia" w:ascii="仿宋_GB2312" w:hAnsi="仿宋_GB2312" w:cs="仿宋_GB2312"/>
          <w:color w:val="auto"/>
          <w:kern w:val="0"/>
          <w:szCs w:val="32"/>
          <w:highlight w:val="none"/>
          <w:shd w:val="clear" w:color="auto" w:fill="FFFFFF"/>
          <w:lang w:eastAsia="zh-CN"/>
        </w:rPr>
      </w:pPr>
      <w:r>
        <w:rPr>
          <w:rFonts w:hint="eastAsia" w:ascii="仿宋_GB2312" w:hAnsi="仿宋_GB2312" w:cs="仿宋_GB2312"/>
          <w:color w:val="auto"/>
          <w:kern w:val="0"/>
          <w:szCs w:val="32"/>
          <w:highlight w:val="none"/>
          <w:shd w:val="clear" w:color="auto" w:fill="FFFFFF"/>
          <w:lang w:eastAsia="zh-CN"/>
        </w:rPr>
        <w:t>清河县住房和城乡建设局、清河县</w:t>
      </w:r>
      <w:r>
        <w:rPr>
          <w:rFonts w:hint="eastAsia" w:ascii="仿宋_GB2312" w:hAnsi="仿宋_GB2312" w:cs="仿宋_GB2312"/>
          <w:color w:val="000000"/>
          <w:kern w:val="0"/>
          <w:szCs w:val="32"/>
          <w:shd w:val="clear" w:color="auto" w:fill="FFFFFF"/>
          <w:lang w:eastAsia="zh-CN"/>
        </w:rPr>
        <w:t>人力资源和社会保障局</w:t>
      </w:r>
      <w:r>
        <w:rPr>
          <w:rFonts w:hint="eastAsia" w:ascii="仿宋_GB2312" w:hAnsi="仿宋_GB2312" w:cs="仿宋_GB2312"/>
          <w:color w:val="auto"/>
          <w:kern w:val="0"/>
          <w:szCs w:val="32"/>
          <w:highlight w:val="none"/>
          <w:shd w:val="clear" w:color="auto" w:fill="FFFFFF"/>
          <w:lang w:eastAsia="zh-CN"/>
        </w:rPr>
        <w:t>。</w:t>
      </w:r>
    </w:p>
    <w:p w14:paraId="37B6432B">
      <w:pPr>
        <w:spacing w:line="600" w:lineRule="exact"/>
        <w:ind w:firstLine="640" w:firstLineChars="200"/>
        <w:rPr>
          <w:rFonts w:ascii="黑体" w:hAnsi="黑体" w:eastAsia="黑体" w:cs="黑体"/>
          <w:szCs w:val="32"/>
        </w:rPr>
      </w:pPr>
      <w:r>
        <w:rPr>
          <w:rFonts w:hint="eastAsia" w:ascii="黑体" w:hAnsi="黑体" w:eastAsia="黑体" w:cs="黑体"/>
          <w:szCs w:val="32"/>
          <w:lang w:eastAsia="zh-CN"/>
        </w:rPr>
        <w:t>四</w:t>
      </w:r>
      <w:r>
        <w:rPr>
          <w:rFonts w:hint="eastAsia" w:ascii="黑体" w:hAnsi="黑体" w:eastAsia="黑体" w:cs="黑体"/>
          <w:szCs w:val="32"/>
        </w:rPr>
        <w:t>、抽查内容</w:t>
      </w:r>
    </w:p>
    <w:p w14:paraId="4B327AB7">
      <w:pPr>
        <w:spacing w:line="600" w:lineRule="exact"/>
        <w:ind w:firstLine="643" w:firstLineChars="200"/>
        <w:rPr>
          <w:rFonts w:hint="eastAsia" w:ascii="仿宋_GB2312" w:hAnsi="仿宋_GB2312" w:eastAsia="仿宋_GB2312" w:cs="仿宋_GB2312"/>
          <w:szCs w:val="32"/>
          <w:lang w:eastAsia="zh-CN"/>
        </w:rPr>
      </w:pPr>
      <w:r>
        <w:rPr>
          <w:rFonts w:hint="eastAsia" w:ascii="仿宋_GB2312" w:hAnsi="仿宋_GB2312" w:cs="仿宋_GB2312"/>
          <w:b/>
          <w:bCs/>
          <w:szCs w:val="32"/>
          <w:lang w:eastAsia="zh-CN"/>
        </w:rPr>
        <w:t>（一）</w:t>
      </w:r>
      <w:r>
        <w:rPr>
          <w:rFonts w:hint="eastAsia" w:ascii="仿宋_GB2312" w:hAnsi="仿宋_GB2312" w:cs="仿宋_GB2312"/>
          <w:b/>
          <w:bCs/>
          <w:szCs w:val="32"/>
        </w:rPr>
        <w:t>住建局</w:t>
      </w:r>
      <w:r>
        <w:rPr>
          <w:rFonts w:hint="eastAsia" w:ascii="仿宋_GB2312" w:hAnsi="仿宋_GB2312" w:cs="仿宋_GB2312"/>
          <w:b/>
          <w:bCs/>
          <w:szCs w:val="32"/>
          <w:lang w:eastAsia="zh-CN"/>
        </w:rPr>
        <w:t>抽查事项</w:t>
      </w:r>
      <w:r>
        <w:rPr>
          <w:rFonts w:hint="eastAsia" w:ascii="仿宋_GB2312" w:hAnsi="仿宋_GB2312" w:cs="仿宋_GB2312"/>
          <w:b/>
          <w:bCs/>
          <w:szCs w:val="32"/>
        </w:rPr>
        <w:t>：</w:t>
      </w:r>
      <w:r>
        <w:rPr>
          <w:rFonts w:hint="eastAsia" w:ascii="仿宋_GB2312" w:hAnsi="仿宋_GB2312" w:cs="仿宋_GB2312"/>
          <w:szCs w:val="32"/>
        </w:rPr>
        <w:t>1、专职安全生产管理人员资格许可后的监督检查；建筑施工特种作业人员操作资格许可后的监督检查；建设工程安全生产监督检查。2、工程建设标准监督检查；建筑工程材料设备使用监督检查；3、建设工程消防设计审查验收监督检查；4、建筑施工扬尘污染防治监督检查；5、民用建筑节能监督检查；绿色建筑、装配式建筑活动的指导和监督检查</w:t>
      </w:r>
      <w:r>
        <w:rPr>
          <w:rFonts w:hint="eastAsia" w:ascii="仿宋_GB2312" w:hAnsi="仿宋_GB2312" w:cs="仿宋_GB2312"/>
          <w:szCs w:val="32"/>
          <w:lang w:eastAsia="zh-CN"/>
        </w:rPr>
        <w:t>。</w:t>
      </w:r>
    </w:p>
    <w:p w14:paraId="46564156">
      <w:pPr>
        <w:spacing w:line="600" w:lineRule="exact"/>
        <w:ind w:firstLine="643" w:firstLineChars="200"/>
        <w:rPr>
          <w:rFonts w:hint="eastAsia" w:ascii="黑体" w:hAnsi="黑体" w:eastAsia="黑体" w:cs="黑体"/>
          <w:bCs/>
          <w:kern w:val="0"/>
          <w:sz w:val="32"/>
          <w:szCs w:val="32"/>
          <w:lang w:eastAsia="zh-CN"/>
        </w:rPr>
      </w:pPr>
      <w:r>
        <w:rPr>
          <w:rFonts w:hint="eastAsia" w:ascii="仿宋_GB2312" w:hAnsi="仿宋_GB2312" w:cs="仿宋_GB2312"/>
          <w:b/>
          <w:bCs/>
          <w:szCs w:val="32"/>
          <w:lang w:eastAsia="zh-CN"/>
        </w:rPr>
        <w:t>（二）</w:t>
      </w:r>
      <w:r>
        <w:rPr>
          <w:rFonts w:hint="eastAsia" w:ascii="仿宋_GB2312" w:hAnsi="仿宋_GB2312" w:cs="仿宋_GB2312"/>
          <w:b/>
          <w:bCs/>
          <w:szCs w:val="32"/>
        </w:rPr>
        <w:t>人社局</w:t>
      </w:r>
      <w:r>
        <w:rPr>
          <w:rFonts w:hint="eastAsia" w:ascii="仿宋_GB2312" w:hAnsi="仿宋_GB2312" w:cs="仿宋_GB2312"/>
          <w:b/>
          <w:bCs/>
          <w:szCs w:val="32"/>
          <w:lang w:eastAsia="zh-CN"/>
        </w:rPr>
        <w:t>抽查事项</w:t>
      </w:r>
      <w:r>
        <w:rPr>
          <w:rFonts w:hint="eastAsia" w:ascii="仿宋_GB2312" w:hAnsi="仿宋_GB2312" w:cs="仿宋_GB2312"/>
          <w:b/>
          <w:bCs/>
          <w:szCs w:val="32"/>
          <w:highlight w:val="none"/>
        </w:rPr>
        <w:t>：</w:t>
      </w:r>
      <w:r>
        <w:rPr>
          <w:rFonts w:hint="eastAsia" w:ascii="仿宋_GB2312" w:hAnsi="仿宋_GB2312" w:cs="仿宋_GB2312"/>
          <w:szCs w:val="32"/>
        </w:rPr>
        <w:t>对用人单位遵守劳动保障法律、法规情况的监督检查、对用人单位遵守社会保险法律、法规情况的监督检查、对妨碍行政执法行为检查；对外国人就业的监督检查</w:t>
      </w:r>
      <w:r>
        <w:rPr>
          <w:rFonts w:hint="eastAsia" w:ascii="仿宋_GB2312" w:hAnsi="仿宋_GB2312" w:cs="仿宋_GB2312"/>
          <w:szCs w:val="32"/>
          <w:lang w:eastAsia="zh-CN"/>
        </w:rPr>
        <w:t>。</w:t>
      </w:r>
      <w:r>
        <w:rPr>
          <w:rFonts w:hint="eastAsia" w:ascii="仿宋_GB2312" w:hAnsi="仿宋_GB2312" w:cs="仿宋_GB2312"/>
          <w:szCs w:val="32"/>
          <w:lang w:val="en-US" w:eastAsia="zh-CN"/>
        </w:rPr>
        <w:t xml:space="preserve">    </w:t>
      </w:r>
      <w:r>
        <w:rPr>
          <w:rFonts w:hint="eastAsia" w:ascii="黑体" w:hAnsi="黑体" w:eastAsia="黑体" w:cs="黑体"/>
          <w:bCs/>
          <w:kern w:val="0"/>
          <w:sz w:val="32"/>
          <w:szCs w:val="32"/>
          <w:lang w:eastAsia="zh-CN"/>
        </w:rPr>
        <w:t>五、组织实施</w:t>
      </w:r>
    </w:p>
    <w:p w14:paraId="47BF1678">
      <w:pPr>
        <w:spacing w:line="600" w:lineRule="exact"/>
        <w:ind w:firstLine="643" w:firstLineChars="200"/>
        <w:rPr>
          <w:rFonts w:hint="eastAsia" w:ascii="仿宋_GB2312" w:hAnsi="仿宋_GB2312" w:cs="仿宋_GB2312"/>
          <w:b/>
          <w:bCs/>
          <w:szCs w:val="32"/>
          <w:lang w:val="en-US" w:eastAsia="zh-CN"/>
        </w:rPr>
      </w:pPr>
      <w:r>
        <w:rPr>
          <w:rFonts w:hint="eastAsia" w:ascii="仿宋_GB2312" w:hAnsi="仿宋_GB2312" w:cs="仿宋_GB2312"/>
          <w:b/>
          <w:bCs/>
          <w:szCs w:val="32"/>
          <w:lang w:val="en-US" w:eastAsia="zh-CN"/>
        </w:rPr>
        <w:t>（一）任务分工</w:t>
      </w:r>
    </w:p>
    <w:p w14:paraId="4388F52B">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w:t>
      </w:r>
      <w:r>
        <w:rPr>
          <w:rFonts w:hint="eastAsia" w:ascii="仿宋_GB2312" w:hAnsi="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县</w:t>
      </w:r>
      <w:r>
        <w:rPr>
          <w:rFonts w:hint="eastAsia" w:ascii="仿宋_GB2312" w:hAnsi="仿宋_GB2312" w:cs="仿宋_GB2312"/>
          <w:color w:val="auto"/>
          <w:kern w:val="0"/>
          <w:sz w:val="32"/>
          <w:szCs w:val="32"/>
          <w:lang w:val="en-US" w:eastAsia="zh-CN" w:bidi="ar-SA"/>
        </w:rPr>
        <w:t>住房和城乡建设局</w:t>
      </w:r>
      <w:r>
        <w:rPr>
          <w:rFonts w:hint="eastAsia" w:ascii="仿宋_GB2312" w:hAnsi="仿宋_GB2312" w:eastAsia="仿宋_GB2312" w:cs="仿宋_GB2312"/>
          <w:color w:val="auto"/>
          <w:kern w:val="0"/>
          <w:sz w:val="32"/>
          <w:szCs w:val="32"/>
          <w:lang w:val="en-US" w:eastAsia="zh-CN" w:bidi="ar-SA"/>
        </w:rPr>
        <w:t>负责总体部署和沟通协调，制定抽查工作</w:t>
      </w:r>
      <w:r>
        <w:rPr>
          <w:rFonts w:hint="eastAsia" w:ascii="仿宋_GB2312" w:hAnsi="仿宋_GB2312" w:cs="仿宋_GB2312"/>
          <w:color w:val="auto"/>
          <w:kern w:val="0"/>
          <w:sz w:val="32"/>
          <w:szCs w:val="32"/>
          <w:lang w:val="en-US" w:eastAsia="zh-CN" w:bidi="ar-SA"/>
        </w:rPr>
        <w:t>实施</w:t>
      </w:r>
      <w:r>
        <w:rPr>
          <w:rFonts w:hint="eastAsia" w:ascii="仿宋_GB2312" w:hAnsi="仿宋_GB2312" w:eastAsia="仿宋_GB2312" w:cs="仿宋_GB2312"/>
          <w:color w:val="auto"/>
          <w:kern w:val="0"/>
          <w:sz w:val="32"/>
          <w:szCs w:val="32"/>
          <w:lang w:val="en-US" w:eastAsia="zh-CN" w:bidi="ar-SA"/>
        </w:rPr>
        <w:t>方案，确定抽查对象库，随机抽取检查对象名单，完成本部门的执法检查人员匹配后，将结果共享给</w:t>
      </w:r>
      <w:r>
        <w:rPr>
          <w:rFonts w:hint="eastAsia" w:ascii="仿宋_GB2312" w:hAnsi="仿宋_GB2312" w:cs="仿宋_GB2312"/>
          <w:color w:val="auto"/>
          <w:kern w:val="0"/>
          <w:sz w:val="32"/>
          <w:szCs w:val="32"/>
          <w:lang w:val="en-US" w:eastAsia="zh-CN" w:bidi="ar-SA"/>
        </w:rPr>
        <w:t>县</w:t>
      </w:r>
      <w:r>
        <w:rPr>
          <w:rFonts w:hint="eastAsia" w:ascii="仿宋_GB2312" w:hAnsi="仿宋_GB2312" w:cs="仿宋_GB2312"/>
          <w:color w:val="000000"/>
          <w:kern w:val="0"/>
          <w:szCs w:val="32"/>
          <w:shd w:val="clear" w:color="auto" w:fill="FFFFFF"/>
          <w:lang w:eastAsia="zh-CN"/>
        </w:rPr>
        <w:t>人力资源和社会保障局</w:t>
      </w:r>
      <w:r>
        <w:rPr>
          <w:rFonts w:hint="eastAsia" w:ascii="仿宋_GB2312" w:hAnsi="仿宋_GB2312" w:eastAsia="仿宋_GB2312" w:cs="仿宋_GB2312"/>
          <w:color w:val="auto"/>
          <w:kern w:val="0"/>
          <w:sz w:val="32"/>
          <w:szCs w:val="32"/>
          <w:lang w:val="en-US" w:eastAsia="zh-CN" w:bidi="ar-SA"/>
        </w:rPr>
        <w:t>。</w:t>
      </w:r>
    </w:p>
    <w:p w14:paraId="2BDFD804">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w:t>
      </w:r>
      <w:r>
        <w:rPr>
          <w:rFonts w:hint="eastAsia" w:ascii="仿宋_GB2312" w:hAnsi="仿宋_GB2312" w:cs="仿宋_GB2312"/>
          <w:color w:val="auto"/>
          <w:kern w:val="0"/>
          <w:sz w:val="32"/>
          <w:szCs w:val="32"/>
          <w:lang w:val="en-US" w:eastAsia="zh-CN" w:bidi="ar-SA"/>
        </w:rPr>
        <w:t>、县</w:t>
      </w:r>
      <w:r>
        <w:rPr>
          <w:rFonts w:hint="eastAsia" w:ascii="仿宋_GB2312" w:hAnsi="仿宋_GB2312" w:cs="仿宋_GB2312"/>
          <w:color w:val="000000"/>
          <w:kern w:val="0"/>
          <w:szCs w:val="32"/>
          <w:shd w:val="clear" w:color="auto" w:fill="FFFFFF"/>
          <w:lang w:eastAsia="zh-CN"/>
        </w:rPr>
        <w:t>人力资源和社会保障局</w:t>
      </w:r>
      <w:r>
        <w:rPr>
          <w:rFonts w:hint="eastAsia" w:ascii="仿宋_GB2312" w:hAnsi="仿宋_GB2312" w:eastAsia="仿宋_GB2312" w:cs="仿宋_GB2312"/>
          <w:color w:val="auto"/>
          <w:kern w:val="0"/>
          <w:sz w:val="32"/>
          <w:szCs w:val="32"/>
          <w:lang w:val="en-US" w:eastAsia="zh-CN" w:bidi="ar-SA"/>
        </w:rPr>
        <w:t>在接收到抽查名单后，3个工作日内完成对被检查对象的认领，并根据部门实际从本部门或本系统中检查人员名录库中随机选派检查人员。</w:t>
      </w:r>
    </w:p>
    <w:p w14:paraId="5D9E4743">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w:t>
      </w:r>
      <w:r>
        <w:rPr>
          <w:rFonts w:hint="eastAsia" w:ascii="仿宋_GB2312" w:hAnsi="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牵头部门负责联系协同部门的检查人员，组成联合检查组，在约定时间按照规定的检查事项内容现场对检查对象一次性完成检查。各检查部门分别填写本部门的《双随机抽查检查记录表》后，由参加检查人员和检查对象的法定代表人（或负责人）进行签字（盖章）确认。</w:t>
      </w:r>
    </w:p>
    <w:p w14:paraId="2ADE3F5A">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w:t>
      </w:r>
      <w:r>
        <w:rPr>
          <w:rFonts w:hint="eastAsia" w:ascii="仿宋_GB2312" w:hAnsi="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参加此次抽查的部门要密切配合、加强协作，在要求时限内完成对涉及本部门随机抽查事项的检查、录入、公示。</w:t>
      </w:r>
    </w:p>
    <w:p w14:paraId="0B723DFC">
      <w:pPr>
        <w:spacing w:line="600" w:lineRule="exact"/>
        <w:ind w:firstLine="643" w:firstLineChars="200"/>
        <w:rPr>
          <w:rFonts w:hint="eastAsia" w:ascii="仿宋_GB2312" w:hAnsi="仿宋_GB2312" w:cs="仿宋_GB2312"/>
          <w:b/>
          <w:bCs/>
          <w:szCs w:val="32"/>
          <w:lang w:val="en-US" w:eastAsia="zh-CN"/>
        </w:rPr>
      </w:pPr>
      <w:r>
        <w:rPr>
          <w:rFonts w:hint="eastAsia" w:ascii="仿宋_GB2312" w:hAnsi="仿宋_GB2312" w:cs="仿宋_GB2312"/>
          <w:b/>
          <w:bCs/>
          <w:szCs w:val="32"/>
          <w:lang w:val="en-US" w:eastAsia="zh-CN"/>
        </w:rPr>
        <w:t>（二）检查方式</w:t>
      </w:r>
    </w:p>
    <w:p w14:paraId="6DE16BD5">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w:t>
      </w:r>
      <w:r>
        <w:rPr>
          <w:rFonts w:hint="eastAsia" w:ascii="仿宋_GB2312" w:hAnsi="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可以采取书面检查、实地核查、网络检查等方式，也可以依法利用其他政府部门作出的检查、核查结果或者其他专业机构作出的专业结论。</w:t>
      </w:r>
    </w:p>
    <w:p w14:paraId="489C8E79">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w:t>
      </w:r>
      <w:r>
        <w:rPr>
          <w:rFonts w:hint="eastAsia" w:ascii="仿宋_GB2312" w:hAnsi="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对检查对象进行实地核查时，每个部门检查人员应当不少于2人，检查人员应当填写检查表，并由检查对象负责人签字</w:t>
      </w:r>
      <w:r>
        <w:rPr>
          <w:rFonts w:hint="eastAsia" w:ascii="仿宋_GB2312" w:hAnsi="仿宋_GB2312" w:cs="仿宋_GB2312"/>
          <w:color w:val="auto"/>
          <w:kern w:val="0"/>
          <w:sz w:val="32"/>
          <w:szCs w:val="32"/>
          <w:lang w:val="en-US" w:eastAsia="zh-CN" w:bidi="ar-SA"/>
        </w:rPr>
        <w:t>（盖章）</w:t>
      </w:r>
      <w:r>
        <w:rPr>
          <w:rFonts w:hint="eastAsia" w:ascii="仿宋_GB2312" w:hAnsi="仿宋_GB2312" w:eastAsia="仿宋_GB2312" w:cs="仿宋_GB2312"/>
          <w:color w:val="auto"/>
          <w:kern w:val="0"/>
          <w:sz w:val="32"/>
          <w:szCs w:val="32"/>
          <w:lang w:val="en-US" w:eastAsia="zh-CN" w:bidi="ar-SA"/>
        </w:rPr>
        <w:t>确认，拒绝签字的应当在检查表上如实记录。</w:t>
      </w:r>
    </w:p>
    <w:p w14:paraId="55377B07">
      <w:pPr>
        <w:spacing w:line="600" w:lineRule="exact"/>
        <w:ind w:firstLine="643" w:firstLineChars="200"/>
        <w:rPr>
          <w:rFonts w:hint="eastAsia" w:ascii="仿宋_GB2312" w:hAnsi="仿宋_GB2312" w:cs="仿宋_GB2312"/>
          <w:b/>
          <w:bCs/>
          <w:szCs w:val="32"/>
          <w:lang w:val="en-US" w:eastAsia="zh-CN"/>
        </w:rPr>
      </w:pPr>
      <w:r>
        <w:rPr>
          <w:rFonts w:hint="eastAsia" w:ascii="仿宋_GB2312" w:hAnsi="仿宋_GB2312" w:cs="仿宋_GB2312"/>
          <w:b/>
          <w:bCs/>
          <w:szCs w:val="32"/>
          <w:lang w:val="en-US" w:eastAsia="zh-CN"/>
        </w:rPr>
        <w:t>（三）抽查结果公示</w:t>
      </w:r>
    </w:p>
    <w:p w14:paraId="5BA91BCB">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检查部门应按照“谁检查、谁录入”的原则，在检查完成之日起20个工作日内将检查结果录入河北省双随机执法监管平台，并通过国家企业信用信息公示系统（河北）向社会公示。已实施检查但未依法进行公示的，视为未完成抽查任务。</w:t>
      </w:r>
    </w:p>
    <w:p w14:paraId="2510A792">
      <w:pPr>
        <w:spacing w:line="600" w:lineRule="exact"/>
        <w:ind w:firstLine="643" w:firstLineChars="200"/>
        <w:rPr>
          <w:rFonts w:hint="eastAsia" w:ascii="仿宋_GB2312" w:hAnsi="仿宋_GB2312" w:cs="仿宋_GB2312"/>
          <w:b/>
          <w:bCs/>
          <w:szCs w:val="32"/>
          <w:lang w:val="en-US" w:eastAsia="zh-CN"/>
        </w:rPr>
      </w:pPr>
      <w:r>
        <w:rPr>
          <w:rFonts w:hint="eastAsia" w:ascii="仿宋_GB2312" w:hAnsi="仿宋_GB2312" w:cs="仿宋_GB2312"/>
          <w:b/>
          <w:bCs/>
          <w:szCs w:val="32"/>
          <w:lang w:val="en-US" w:eastAsia="zh-CN"/>
        </w:rPr>
        <w:t>（四）现场检查发现问题的处理方式</w:t>
      </w:r>
    </w:p>
    <w:p w14:paraId="648F86B0">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1、对现场检查发现的违法问题，违法行为轻微的，采取教育、建议、提醒等行政指导措施，引导其合法守信经营。</w:t>
      </w:r>
    </w:p>
    <w:p w14:paraId="15E98219">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2、违法行为严重，需要立案处理的，检查人员应将问题线索移交给本部门案件查办机构。</w:t>
      </w:r>
    </w:p>
    <w:p w14:paraId="39755BF6">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3、发现违法问题不属于本部门职责范围的，应当及时移送相应监管部门处理。涉嫌犯罪的，移送公安司法机关处理。</w:t>
      </w:r>
    </w:p>
    <w:p w14:paraId="56C77437">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4、后续处置结果及时录入“河北省双随机执法监管平台”中“后续处置”模块，确保后续监管到位，形成监管闭环。</w:t>
      </w:r>
    </w:p>
    <w:p w14:paraId="1722EED4">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六、工作要求</w:t>
      </w:r>
    </w:p>
    <w:p w14:paraId="39635FA0">
      <w:pPr>
        <w:ind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县</w:t>
      </w:r>
      <w:r>
        <w:rPr>
          <w:rFonts w:hint="eastAsia" w:ascii="仿宋_GB2312" w:hAnsi="仿宋_GB2312" w:cs="仿宋_GB2312"/>
          <w:color w:val="auto"/>
          <w:kern w:val="0"/>
          <w:sz w:val="32"/>
          <w:szCs w:val="32"/>
          <w:lang w:val="en-US" w:eastAsia="zh-CN" w:bidi="ar-SA"/>
        </w:rPr>
        <w:t>住房和城乡建设局</w:t>
      </w:r>
      <w:r>
        <w:rPr>
          <w:rFonts w:hint="eastAsia" w:ascii="仿宋_GB2312" w:hAnsi="仿宋_GB2312" w:eastAsia="仿宋_GB2312" w:cs="仿宋_GB2312"/>
          <w:color w:val="auto"/>
          <w:kern w:val="0"/>
          <w:sz w:val="32"/>
          <w:szCs w:val="32"/>
          <w:lang w:val="en-US" w:eastAsia="zh-CN" w:bidi="ar-SA"/>
        </w:rPr>
        <w:t>要发挥好牵头作用，县</w:t>
      </w:r>
      <w:r>
        <w:rPr>
          <w:rFonts w:hint="eastAsia" w:ascii="仿宋_GB2312" w:hAnsi="仿宋_GB2312" w:cs="仿宋_GB2312"/>
          <w:color w:val="000000"/>
          <w:kern w:val="0"/>
          <w:szCs w:val="32"/>
          <w:shd w:val="clear" w:color="auto" w:fill="FFFFFF"/>
          <w:lang w:eastAsia="zh-CN"/>
        </w:rPr>
        <w:t>人力资源和社会保障局</w:t>
      </w:r>
      <w:r>
        <w:rPr>
          <w:rFonts w:hint="eastAsia" w:ascii="仿宋_GB2312" w:hAnsi="仿宋_GB2312" w:eastAsia="仿宋_GB2312" w:cs="仿宋_GB2312"/>
          <w:color w:val="auto"/>
          <w:kern w:val="0"/>
          <w:sz w:val="32"/>
          <w:szCs w:val="32"/>
          <w:lang w:val="en-US" w:eastAsia="zh-CN" w:bidi="ar-SA"/>
        </w:rPr>
        <w:t>要积极配合，共同推进工作，形成执法合力。特别是对认领、匹配人员等重要环节，要严格按照时限要求完成。部门相关业务处室要结合职责，强化工作指导和业务培训，积极指导、解答在抽查中遇到的疑难问题，防止抽查检查流于形式、走过场，确保执法人员履职尽责，提高监管效率和质量。</w:t>
      </w:r>
    </w:p>
    <w:p w14:paraId="3C014ABB">
      <w:pPr>
        <w:ind w:firstLine="640" w:firstLineChars="200"/>
        <w:jc w:val="left"/>
        <w:rPr>
          <w:rFonts w:hint="eastAsia" w:ascii="仿宋_GB2312" w:hAnsi="仿宋_GB2312" w:eastAsia="仿宋_GB2312" w:cs="仿宋_GB2312"/>
          <w:color w:val="auto"/>
          <w:kern w:val="0"/>
          <w:sz w:val="32"/>
          <w:szCs w:val="32"/>
          <w:lang w:val="en-US" w:eastAsia="zh-CN" w:bidi="ar-SA"/>
        </w:rPr>
      </w:pPr>
    </w:p>
    <w:p w14:paraId="0826F565">
      <w:pPr>
        <w:ind w:firstLine="640" w:firstLineChars="200"/>
        <w:jc w:val="left"/>
        <w:rPr>
          <w:rFonts w:hint="eastAsia" w:ascii="仿宋_GB2312" w:hAnsi="仿宋_GB2312" w:eastAsia="仿宋_GB2312" w:cs="仿宋_GB2312"/>
          <w:color w:val="auto"/>
          <w:kern w:val="0"/>
          <w:sz w:val="32"/>
          <w:szCs w:val="32"/>
          <w:lang w:val="en-US" w:eastAsia="zh-CN" w:bidi="ar-SA"/>
        </w:rPr>
      </w:pPr>
    </w:p>
    <w:p w14:paraId="4A6F374F">
      <w:pPr>
        <w:ind w:firstLine="640" w:firstLineChars="200"/>
        <w:jc w:val="left"/>
        <w:rPr>
          <w:rFonts w:hint="eastAsia" w:ascii="仿宋_GB2312" w:hAnsi="仿宋_GB2312" w:eastAsia="仿宋_GB2312" w:cs="仿宋_GB2312"/>
          <w:color w:val="auto"/>
          <w:kern w:val="0"/>
          <w:sz w:val="32"/>
          <w:szCs w:val="32"/>
          <w:lang w:val="en-US" w:eastAsia="zh-CN" w:bidi="ar-SA"/>
        </w:rPr>
      </w:pPr>
    </w:p>
    <w:p w14:paraId="58390858">
      <w:pPr>
        <w:ind w:firstLine="640" w:firstLineChars="200"/>
        <w:jc w:val="left"/>
        <w:rPr>
          <w:rFonts w:hint="eastAsia" w:ascii="仿宋_GB2312" w:hAnsi="仿宋_GB2312" w:eastAsia="仿宋_GB2312" w:cs="仿宋_GB2312"/>
          <w:color w:val="auto"/>
          <w:kern w:val="0"/>
          <w:sz w:val="32"/>
          <w:szCs w:val="32"/>
          <w:lang w:val="en-US" w:eastAsia="zh-CN" w:bidi="ar-SA"/>
        </w:rPr>
      </w:pPr>
    </w:p>
    <w:p w14:paraId="06CAD29B">
      <w:pPr>
        <w:ind w:firstLine="640" w:firstLineChars="200"/>
        <w:jc w:val="left"/>
        <w:rPr>
          <w:rFonts w:hint="eastAsia" w:ascii="仿宋_GB2312" w:hAnsi="仿宋_GB2312" w:eastAsia="仿宋_GB2312" w:cs="仿宋_GB2312"/>
          <w:color w:val="auto"/>
          <w:kern w:val="0"/>
          <w:sz w:val="32"/>
          <w:szCs w:val="32"/>
          <w:lang w:val="en-US" w:eastAsia="zh-CN" w:bidi="ar-SA"/>
        </w:rPr>
      </w:pPr>
    </w:p>
    <w:p w14:paraId="4E9398C9">
      <w:pPr>
        <w:ind w:firstLine="640" w:firstLineChars="200"/>
        <w:jc w:val="right"/>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cs="仿宋_GB2312"/>
          <w:color w:val="auto"/>
          <w:kern w:val="0"/>
          <w:sz w:val="32"/>
          <w:szCs w:val="32"/>
          <w:highlight w:val="none"/>
          <w:lang w:val="en-US" w:eastAsia="zh-CN" w:bidi="ar-SA"/>
        </w:rPr>
        <w:t>2025年7月25日</w:t>
      </w:r>
    </w:p>
    <w:p w14:paraId="45C7E348">
      <w:pPr>
        <w:spacing w:line="560" w:lineRule="exact"/>
        <w:ind w:firstLine="604" w:firstLineChars="200"/>
        <w:rPr>
          <w:rFonts w:ascii="仿宋_GB2312" w:hAnsi="仿宋_GB2312" w:cs="仿宋_GB2312"/>
          <w:spacing w:val="-9"/>
          <w:szCs w:val="32"/>
        </w:rPr>
      </w:pPr>
    </w:p>
    <w:sectPr>
      <w:footerReference r:id="rId5" w:type="default"/>
      <w:pgSz w:w="11906" w:h="16838"/>
      <w:pgMar w:top="2098" w:right="1474" w:bottom="1984" w:left="1587" w:header="851" w:footer="124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7F856E-36B9-4307-858D-40D0DC4CB5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30C2F28-9EAD-4E57-9172-F79525ECE0ED}"/>
  </w:font>
  <w:font w:name="方正小标宋_GBK">
    <w:panose1 w:val="02000000000000000000"/>
    <w:charset w:val="86"/>
    <w:family w:val="script"/>
    <w:pitch w:val="default"/>
    <w:sig w:usb0="A00002BF" w:usb1="38CF7CFA" w:usb2="00082016" w:usb3="00000000" w:csb0="00040001" w:csb1="00000000"/>
  </w:font>
  <w:font w:name="方正大标宋_GBK">
    <w:panose1 w:val="02000000000000000000"/>
    <w:charset w:val="86"/>
    <w:family w:val="script"/>
    <w:pitch w:val="default"/>
    <w:sig w:usb0="A00002BF" w:usb1="08CF7CFA" w:usb2="00000000" w:usb3="00000000" w:csb0="00040001" w:csb1="00000000"/>
    <w:embedRegular r:id="rId3" w:fontKey="{AA14839C-845C-4805-828D-56C3886B0FE0}"/>
  </w:font>
  <w:font w:name="Calibri Light">
    <w:panose1 w:val="020F0302020204030204"/>
    <w:charset w:val="00"/>
    <w:family w:val="swiss"/>
    <w:pitch w:val="default"/>
    <w:sig w:usb0="E4002EFF" w:usb1="C000247B" w:usb2="00000009" w:usb3="00000000" w:csb0="200001FF" w:csb1="00000000"/>
    <w:embedRegular r:id="rId4" w:fontKey="{64A0C4A7-39C8-4D20-AF5A-7E85BC3FA574}"/>
  </w:font>
  <w:font w:name="方正小标宋简体">
    <w:panose1 w:val="02000000000000000000"/>
    <w:charset w:val="86"/>
    <w:family w:val="auto"/>
    <w:pitch w:val="default"/>
    <w:sig w:usb0="00000001" w:usb1="080E0000" w:usb2="00000000" w:usb3="00000000" w:csb0="00040000" w:csb1="00000000"/>
    <w:embedRegular r:id="rId5" w:fontKey="{175DC16C-5CF0-466F-ABBD-BA16061176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8B6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E08C09">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9E08C09">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EA79ED"/>
    <w:multiLevelType w:val="singleLevel"/>
    <w:tmpl w:val="E9EA79E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hYmJjMjAyMDgyMDIwODVhYWI1ODkzZDQ1ZmIyODkifQ=="/>
  </w:docVars>
  <w:rsids>
    <w:rsidRoot w:val="7E0003D2"/>
    <w:rsid w:val="00270A9A"/>
    <w:rsid w:val="002F1B7D"/>
    <w:rsid w:val="003A739F"/>
    <w:rsid w:val="003A74A5"/>
    <w:rsid w:val="00726EB9"/>
    <w:rsid w:val="007F110C"/>
    <w:rsid w:val="00801EAB"/>
    <w:rsid w:val="008702DE"/>
    <w:rsid w:val="008E2A0E"/>
    <w:rsid w:val="008F2A31"/>
    <w:rsid w:val="00BB303A"/>
    <w:rsid w:val="00BC2DAC"/>
    <w:rsid w:val="00C01EDD"/>
    <w:rsid w:val="00D42470"/>
    <w:rsid w:val="00E04FBA"/>
    <w:rsid w:val="01775D86"/>
    <w:rsid w:val="021A2CF8"/>
    <w:rsid w:val="029B5671"/>
    <w:rsid w:val="05CC379E"/>
    <w:rsid w:val="07A86404"/>
    <w:rsid w:val="08190D3C"/>
    <w:rsid w:val="0AA63EFE"/>
    <w:rsid w:val="0BC821A3"/>
    <w:rsid w:val="0C2739E9"/>
    <w:rsid w:val="0C37453B"/>
    <w:rsid w:val="0F20118F"/>
    <w:rsid w:val="10191BE8"/>
    <w:rsid w:val="10367C37"/>
    <w:rsid w:val="117B2B3A"/>
    <w:rsid w:val="119B6BA4"/>
    <w:rsid w:val="11A77CBF"/>
    <w:rsid w:val="13D5192B"/>
    <w:rsid w:val="15455AF0"/>
    <w:rsid w:val="154F4A0A"/>
    <w:rsid w:val="15B8435D"/>
    <w:rsid w:val="15DB5A7B"/>
    <w:rsid w:val="17B25BFC"/>
    <w:rsid w:val="1B7627C1"/>
    <w:rsid w:val="1E586286"/>
    <w:rsid w:val="1E5F2799"/>
    <w:rsid w:val="204F3B10"/>
    <w:rsid w:val="2171632C"/>
    <w:rsid w:val="217A2148"/>
    <w:rsid w:val="23197571"/>
    <w:rsid w:val="24833D88"/>
    <w:rsid w:val="253F4A8A"/>
    <w:rsid w:val="256367CC"/>
    <w:rsid w:val="25ED02C0"/>
    <w:rsid w:val="26D829E9"/>
    <w:rsid w:val="28A94CC8"/>
    <w:rsid w:val="28DA0357"/>
    <w:rsid w:val="29A70519"/>
    <w:rsid w:val="29AE5D4B"/>
    <w:rsid w:val="2B6E7F44"/>
    <w:rsid w:val="2DE07C07"/>
    <w:rsid w:val="2F9206A0"/>
    <w:rsid w:val="2FC82F97"/>
    <w:rsid w:val="2FE01366"/>
    <w:rsid w:val="3096020A"/>
    <w:rsid w:val="35632ECE"/>
    <w:rsid w:val="35E1267C"/>
    <w:rsid w:val="371B1DE8"/>
    <w:rsid w:val="38746BD8"/>
    <w:rsid w:val="3B544715"/>
    <w:rsid w:val="3E387387"/>
    <w:rsid w:val="3FB038E5"/>
    <w:rsid w:val="400955F0"/>
    <w:rsid w:val="43EC715C"/>
    <w:rsid w:val="448D0D02"/>
    <w:rsid w:val="4B4D095D"/>
    <w:rsid w:val="4F321EB2"/>
    <w:rsid w:val="50580C20"/>
    <w:rsid w:val="51375E3B"/>
    <w:rsid w:val="52A024E2"/>
    <w:rsid w:val="52AC4FDC"/>
    <w:rsid w:val="52FA3752"/>
    <w:rsid w:val="53375922"/>
    <w:rsid w:val="5367546C"/>
    <w:rsid w:val="53E22B02"/>
    <w:rsid w:val="544C79C5"/>
    <w:rsid w:val="54FF1482"/>
    <w:rsid w:val="566D0F45"/>
    <w:rsid w:val="583F7DC0"/>
    <w:rsid w:val="58C1657A"/>
    <w:rsid w:val="5E2F18B0"/>
    <w:rsid w:val="60FB3D4C"/>
    <w:rsid w:val="612826F1"/>
    <w:rsid w:val="61470313"/>
    <w:rsid w:val="618139EA"/>
    <w:rsid w:val="62DA699B"/>
    <w:rsid w:val="63E86A0C"/>
    <w:rsid w:val="641A2587"/>
    <w:rsid w:val="64D07B53"/>
    <w:rsid w:val="661679DE"/>
    <w:rsid w:val="692D2D5A"/>
    <w:rsid w:val="6BD02DB8"/>
    <w:rsid w:val="6E0E5823"/>
    <w:rsid w:val="6EC45072"/>
    <w:rsid w:val="6F841D70"/>
    <w:rsid w:val="719C057F"/>
    <w:rsid w:val="723032EA"/>
    <w:rsid w:val="736C7FF8"/>
    <w:rsid w:val="759B30A5"/>
    <w:rsid w:val="765E30D5"/>
    <w:rsid w:val="7A0051A4"/>
    <w:rsid w:val="7AA62CEB"/>
    <w:rsid w:val="7B0A5510"/>
    <w:rsid w:val="7B5B12AE"/>
    <w:rsid w:val="7C5C3E92"/>
    <w:rsid w:val="7C610ED4"/>
    <w:rsid w:val="7E0003D2"/>
    <w:rsid w:val="7E0230FD"/>
    <w:rsid w:val="7EC81956"/>
    <w:rsid w:val="7F9B55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kern w:val="2"/>
      <w:sz w:val="32"/>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tabs>
        <w:tab w:val="left" w:pos="180"/>
      </w:tabs>
      <w:spacing w:line="500" w:lineRule="exact"/>
    </w:pPr>
  </w:style>
  <w:style w:type="paragraph" w:styleId="4">
    <w:name w:val="footer"/>
    <w:basedOn w:val="1"/>
    <w:qFormat/>
    <w:uiPriority w:val="0"/>
    <w:pPr>
      <w:tabs>
        <w:tab w:val="center" w:pos="4153"/>
        <w:tab w:val="right" w:pos="8306"/>
      </w:tabs>
      <w:snapToGrid w:val="0"/>
      <w:spacing w:line="240" w:lineRule="auto"/>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semiHidden/>
    <w:qFormat/>
    <w:uiPriority w:val="99"/>
    <w:pPr>
      <w:widowControl/>
      <w:spacing w:after="100" w:line="276" w:lineRule="auto"/>
      <w:ind w:left="220"/>
      <w:jc w:val="left"/>
    </w:pPr>
    <w:rPr>
      <w:kern w:val="0"/>
      <w:sz w:val="22"/>
    </w:rPr>
  </w:style>
  <w:style w:type="paragraph" w:styleId="7">
    <w:name w:val="Normal (Web)"/>
    <w:basedOn w:val="1"/>
    <w:qFormat/>
    <w:uiPriority w:val="0"/>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page number"/>
    <w:basedOn w:val="10"/>
    <w:qFormat/>
    <w:uiPriority w:val="0"/>
  </w:style>
  <w:style w:type="character" w:styleId="13">
    <w:name w:val="Emphasis"/>
    <w:basedOn w:val="10"/>
    <w:qFormat/>
    <w:uiPriority w:val="0"/>
    <w:rPr>
      <w:i/>
    </w:rPr>
  </w:style>
  <w:style w:type="paragraph" w:customStyle="1" w:styleId="14">
    <w:name w:val="Default"/>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15">
    <w:name w:val="表格文字"/>
    <w:basedOn w:val="1"/>
    <w:next w:val="3"/>
    <w:qFormat/>
    <w:uiPriority w:val="0"/>
    <w:pPr>
      <w:adjustRightInd w:val="0"/>
      <w:spacing w:line="420" w:lineRule="atLeast"/>
      <w:jc w:val="left"/>
      <w:textAlignment w:val="baseline"/>
    </w:pPr>
    <w:rPr>
      <w:kern w:val="0"/>
      <w:szCs w:val="20"/>
    </w:rPr>
  </w:style>
  <w:style w:type="paragraph" w:styleId="16">
    <w:name w:val="List Paragraph"/>
    <w:basedOn w:val="1"/>
    <w:qFormat/>
    <w:uiPriority w:val="34"/>
    <w:pPr>
      <w:ind w:firstLine="420" w:firstLineChars="200"/>
    </w:pPr>
  </w:style>
  <w:style w:type="character" w:customStyle="1" w:styleId="17">
    <w:name w:val="font21"/>
    <w:basedOn w:val="10"/>
    <w:qFormat/>
    <w:uiPriority w:val="0"/>
    <w:rPr>
      <w:rFonts w:hint="eastAsia" w:ascii="宋体" w:hAnsi="宋体" w:eastAsia="宋体" w:cs="宋体"/>
      <w:color w:val="000000"/>
      <w:sz w:val="20"/>
      <w:szCs w:val="20"/>
      <w:u w:val="none"/>
    </w:rPr>
  </w:style>
  <w:style w:type="character" w:customStyle="1" w:styleId="18">
    <w:name w:val="font31"/>
    <w:basedOn w:val="10"/>
    <w:qFormat/>
    <w:uiPriority w:val="0"/>
    <w:rPr>
      <w:rFonts w:hint="eastAsia" w:ascii="宋体" w:hAnsi="宋体" w:eastAsia="宋体" w:cs="宋体"/>
      <w:b/>
      <w:bCs/>
      <w:color w:val="000000"/>
      <w:sz w:val="20"/>
      <w:szCs w:val="20"/>
      <w:u w:val="none"/>
    </w:rPr>
  </w:style>
  <w:style w:type="character" w:customStyle="1" w:styleId="19">
    <w:name w:val="font51"/>
    <w:basedOn w:val="10"/>
    <w:qFormat/>
    <w:uiPriority w:val="0"/>
    <w:rPr>
      <w:rFonts w:hint="eastAsia" w:ascii="宋体" w:hAnsi="宋体" w:eastAsia="宋体" w:cs="宋体"/>
      <w:b/>
      <w:bCs/>
      <w:color w:val="000000"/>
      <w:sz w:val="20"/>
      <w:szCs w:val="20"/>
      <w:u w:val="none"/>
    </w:rPr>
  </w:style>
  <w:style w:type="character" w:customStyle="1" w:styleId="20">
    <w:name w:val="font61"/>
    <w:basedOn w:val="10"/>
    <w:qFormat/>
    <w:uiPriority w:val="0"/>
    <w:rPr>
      <w:rFonts w:hint="eastAsia" w:ascii="宋体" w:hAnsi="宋体" w:eastAsia="宋体" w:cs="宋体"/>
      <w:color w:val="000000"/>
      <w:sz w:val="20"/>
      <w:szCs w:val="20"/>
      <w:u w:val="none"/>
    </w:rPr>
  </w:style>
  <w:style w:type="character" w:customStyle="1" w:styleId="21">
    <w:name w:val="font41"/>
    <w:basedOn w:val="10"/>
    <w:qFormat/>
    <w:uiPriority w:val="0"/>
    <w:rPr>
      <w:rFonts w:hint="eastAsia" w:ascii="宋体" w:hAnsi="宋体" w:eastAsia="宋体" w:cs="宋体"/>
      <w:color w:val="000000"/>
      <w:sz w:val="20"/>
      <w:szCs w:val="20"/>
      <w:u w:val="none"/>
    </w:rPr>
  </w:style>
  <w:style w:type="character" w:customStyle="1" w:styleId="22">
    <w:name w:val="font71"/>
    <w:basedOn w:val="10"/>
    <w:qFormat/>
    <w:uiPriority w:val="0"/>
    <w:rPr>
      <w:rFonts w:hint="eastAsia" w:ascii="宋体" w:hAnsi="宋体" w:eastAsia="宋体" w:cs="宋体"/>
      <w:b/>
      <w:bCs/>
      <w:color w:val="000000"/>
      <w:sz w:val="20"/>
      <w:szCs w:val="20"/>
      <w:u w:val="none"/>
    </w:rPr>
  </w:style>
  <w:style w:type="table" w:customStyle="1" w:styleId="2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1665</Words>
  <Characters>1695</Characters>
  <Lines>6</Lines>
  <Paragraphs>1</Paragraphs>
  <TotalTime>4452</TotalTime>
  <ScaleCrop>false</ScaleCrop>
  <LinksUpToDate>false</LinksUpToDate>
  <CharactersWithSpaces>1705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2018-03-19T07:00:00Z</dcterms:created>
  <dc:creator>Administrator</dc:creator>
  <cp:lastModifiedBy>许新洲</cp:lastModifiedBy>
  <cp:lastPrinted>2022-09-26T00:59:00Z</cp:lastPrinted>
  <dcterms:modified xsi:type="dcterms:W3CDTF">2025-07-25T01:53:55Z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BFF6E9626F234290AB1E6BEA879B5912_13</vt:lpwstr>
  </property>
  <property fmtid="{D5CDD505-2E9C-101B-9397-08002B2CF9AE}" pid="4" name="KSOTemplateDocerSaveRecord">
    <vt:lpwstr>eyJoZGlkIjoiZTZkZWU3ODg2ZjVmZmIzODk2MzcxOTE2YWJjNDM5ZmEiLCJ1c2VySWQiOiIxNjg5MzI2ODk4In0=</vt:lpwstr>
  </property>
</Properties>
</file>