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DC609">
      <w:pPr>
        <w:snapToGrid w:val="0"/>
        <w:rPr>
          <w:rFonts w:hint="eastAsia" w:ascii="仿宋_GB2312" w:hAnsi="仿宋_GB2312" w:cs="仿宋_GB2312"/>
          <w:szCs w:val="32"/>
        </w:rPr>
      </w:pPr>
      <w:r>
        <w:rPr>
          <w:rFonts w:hint="eastAsia" w:eastAsia="方正大标宋_GBK"/>
          <w:color w:val="FF0000"/>
          <w:spacing w:val="-45"/>
          <w:w w:val="89"/>
          <w:sz w:val="100"/>
          <w:szCs w:val="100"/>
        </w:rPr>
        <w:t>清河县住房和城乡建设局</w:t>
      </w:r>
    </w:p>
    <w:p w14:paraId="3FCB158A">
      <w:pPr>
        <w:pBdr>
          <w:bottom w:val="single" w:color="FF0000" w:sz="18" w:space="1"/>
        </w:pBdr>
        <w:spacing w:before="480"/>
        <w:jc w:val="center"/>
        <w:rPr>
          <w:szCs w:val="32"/>
        </w:rPr>
      </w:pPr>
      <w:r>
        <w:rPr>
          <w:rFonts w:hint="eastAsia" w:ascii="仿宋_GB2312" w:hAnsi="仿宋_GB2312" w:cs="仿宋_GB2312"/>
          <w:szCs w:val="32"/>
        </w:rPr>
        <w:t>清建</w:t>
      </w:r>
      <w:r>
        <w:rPr>
          <w:rFonts w:hint="eastAsia" w:ascii="仿宋_GB2312" w:hAnsi="仿宋_GB2312" w:cs="仿宋_GB2312"/>
          <w:szCs w:val="32"/>
          <w:lang w:eastAsia="zh-CN"/>
        </w:rPr>
        <w:t>双随机联</w:t>
      </w:r>
      <w:r>
        <w:rPr>
          <w:rFonts w:hint="eastAsia" w:ascii="仿宋_GB2312" w:hAnsi="仿宋_GB2312" w:cs="仿宋_GB2312"/>
          <w:szCs w:val="32"/>
        </w:rPr>
        <w:t>〔202</w:t>
      </w:r>
      <w:r>
        <w:rPr>
          <w:rFonts w:hint="eastAsia" w:ascii="仿宋_GB2312" w:hAnsi="仿宋_GB2312" w:cs="仿宋_GB2312"/>
          <w:szCs w:val="32"/>
          <w:lang w:val="en-US" w:eastAsia="zh-CN"/>
        </w:rPr>
        <w:t>5</w:t>
      </w:r>
      <w:r>
        <w:rPr>
          <w:rFonts w:hint="eastAsia" w:ascii="仿宋_GB2312" w:hAnsi="仿宋_GB2312" w:cs="仿宋_GB2312"/>
          <w:szCs w:val="32"/>
        </w:rPr>
        <w:t>〕</w:t>
      </w:r>
      <w:r>
        <w:rPr>
          <w:rFonts w:hint="eastAsia" w:ascii="仿宋_GB2312" w:hAnsi="仿宋_GB2312" w:cs="仿宋_GB2312"/>
          <w:szCs w:val="32"/>
          <w:lang w:val="en-US" w:eastAsia="zh-CN"/>
        </w:rPr>
        <w:t>3</w:t>
      </w:r>
      <w:r>
        <w:rPr>
          <w:rFonts w:hint="eastAsia" w:ascii="仿宋_GB2312" w:hAnsi="仿宋_GB2312" w:cs="仿宋_GB2312"/>
          <w:szCs w:val="32"/>
        </w:rPr>
        <w:t>号</w:t>
      </w:r>
    </w:p>
    <w:p w14:paraId="2F90DD61">
      <w:pPr>
        <w:jc w:val="center"/>
        <w:rPr>
          <w:rFonts w:asciiTheme="majorHAnsi" w:hAnsiTheme="majorHAnsi"/>
          <w:b/>
          <w:bCs/>
          <w:sz w:val="44"/>
          <w:szCs w:val="44"/>
        </w:rPr>
      </w:pPr>
    </w:p>
    <w:p w14:paraId="40CA4DFB">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年建筑市场</w:t>
      </w: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部门联合随机抽查</w:t>
      </w:r>
      <w:r>
        <w:rPr>
          <w:rFonts w:hint="eastAsia" w:ascii="方正小标宋简体" w:hAnsi="方正小标宋简体" w:eastAsia="方正小标宋简体" w:cs="方正小标宋简体"/>
          <w:sz w:val="44"/>
          <w:szCs w:val="44"/>
        </w:rPr>
        <w:t>工作实施方案</w:t>
      </w:r>
      <w:r>
        <w:rPr>
          <w:rFonts w:hint="eastAsia" w:ascii="方正小标宋简体" w:hAnsi="方正小标宋简体" w:eastAsia="方正小标宋简体" w:cs="方正小标宋简体"/>
          <w:sz w:val="44"/>
          <w:szCs w:val="44"/>
          <w:lang w:eastAsia="zh-CN"/>
        </w:rPr>
        <w:t>》的</w:t>
      </w:r>
    </w:p>
    <w:p w14:paraId="049E1D3D">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知</w:t>
      </w:r>
    </w:p>
    <w:p w14:paraId="5279B12C">
      <w:pPr>
        <w:spacing w:line="600" w:lineRule="exact"/>
        <w:jc w:val="both"/>
        <w:rPr>
          <w:rFonts w:hint="eastAsia" w:ascii="方正小标宋简体" w:hAnsi="方正小标宋简体" w:eastAsia="方正小标宋简体" w:cs="方正小标宋简体"/>
          <w:sz w:val="44"/>
          <w:szCs w:val="44"/>
          <w:lang w:eastAsia="zh-CN"/>
        </w:rPr>
      </w:pPr>
    </w:p>
    <w:p w14:paraId="33A705EE">
      <w:pPr>
        <w:spacing w:line="600" w:lineRule="exact"/>
        <w:rPr>
          <w:rFonts w:hint="eastAsia" w:ascii="仿宋_GB2312" w:hAnsi="仿宋_GB2312" w:cs="仿宋_GB2312"/>
          <w:color w:val="auto"/>
          <w:kern w:val="0"/>
          <w:szCs w:val="32"/>
          <w:highlight w:val="none"/>
          <w:shd w:val="clear" w:color="auto" w:fill="FFFFFF"/>
          <w:lang w:eastAsia="zh-CN"/>
        </w:rPr>
      </w:pPr>
      <w:r>
        <w:rPr>
          <w:rFonts w:hint="eastAsia" w:ascii="仿宋_GB2312" w:hAnsi="仿宋_GB2312" w:eastAsia="仿宋_GB2312" w:cs="仿宋_GB2312"/>
          <w:color w:val="auto"/>
          <w:sz w:val="32"/>
          <w:szCs w:val="32"/>
          <w:lang w:val="en-US" w:eastAsia="zh-CN"/>
        </w:rPr>
        <w:t>市场监督管理局：</w:t>
      </w:r>
    </w:p>
    <w:p w14:paraId="0509BD9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按照市、县“双随机、一公开”工作要求，县</w:t>
      </w:r>
      <w:r>
        <w:rPr>
          <w:rFonts w:hint="eastAsia" w:ascii="仿宋_GB2312" w:hAnsi="仿宋_GB2312" w:cs="仿宋_GB2312"/>
          <w:color w:val="auto"/>
          <w:sz w:val="32"/>
          <w:szCs w:val="32"/>
          <w:lang w:val="en-US" w:eastAsia="zh-CN"/>
        </w:rPr>
        <w:t>住房和城乡建设局牵头，</w:t>
      </w:r>
      <w:r>
        <w:rPr>
          <w:rFonts w:hint="eastAsia" w:ascii="仿宋_GB2312" w:hAnsi="仿宋_GB2312" w:eastAsia="仿宋_GB2312" w:cs="仿宋_GB2312"/>
          <w:color w:val="auto"/>
          <w:sz w:val="32"/>
          <w:szCs w:val="32"/>
          <w:lang w:val="en-US" w:eastAsia="zh-CN"/>
        </w:rPr>
        <w:t>制定了《202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年建筑市场“双随</w:t>
      </w:r>
      <w:bookmarkStart w:id="0" w:name="_GoBack"/>
      <w:bookmarkEnd w:id="0"/>
      <w:r>
        <w:rPr>
          <w:rFonts w:hint="eastAsia" w:ascii="仿宋_GB2312" w:hAnsi="仿宋_GB2312" w:eastAsia="仿宋_GB2312" w:cs="仿宋_GB2312"/>
          <w:color w:val="auto"/>
          <w:sz w:val="32"/>
          <w:szCs w:val="32"/>
          <w:lang w:val="en-US" w:eastAsia="zh-CN"/>
        </w:rPr>
        <w:t>机、一公开”部门联合随机抽查工作实施方案》，现印发给你们，请认真贯彻落实。</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DOCVARIABLE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DOCVARIABLE 正文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p>
    <w:p w14:paraId="29108EC1">
      <w:pPr>
        <w:keepNext w:val="0"/>
        <w:keepLines w:val="0"/>
        <w:pageBreakBefore w:val="0"/>
        <w:widowControl w:val="0"/>
        <w:kinsoku/>
        <w:overflowPunct/>
        <w:topLinePunct w:val="0"/>
        <w:autoSpaceDE/>
        <w:autoSpaceDN/>
        <w:bidi w:val="0"/>
        <w:adjustRightInd/>
        <w:spacing w:beforeLines="0" w:afterLines="0" w:line="560" w:lineRule="exact"/>
        <w:jc w:val="both"/>
        <w:textAlignment w:val="auto"/>
        <w:rPr>
          <w:rFonts w:hint="eastAsia" w:ascii="仿宋_GB2312" w:hAnsi="仿宋_GB2312" w:eastAsia="仿宋_GB2312" w:cs="仿宋_GB2312"/>
          <w:color w:val="FF0000"/>
          <w:sz w:val="32"/>
          <w:szCs w:val="32"/>
        </w:rPr>
      </w:pPr>
    </w:p>
    <w:p w14:paraId="763775B5">
      <w:pPr>
        <w:keepNext w:val="0"/>
        <w:keepLines w:val="0"/>
        <w:pageBreakBefore w:val="0"/>
        <w:widowControl w:val="0"/>
        <w:kinsoku/>
        <w:wordWrap w:val="0"/>
        <w:overflowPunct/>
        <w:topLinePunct w:val="0"/>
        <w:autoSpaceDE/>
        <w:autoSpaceDN/>
        <w:bidi w:val="0"/>
        <w:adjustRightInd/>
        <w:spacing w:beforeLines="0" w:afterLines="0" w:line="560" w:lineRule="exact"/>
        <w:jc w:val="center"/>
        <w:textAlignment w:val="auto"/>
        <w:rPr>
          <w:rFonts w:hint="eastAsia" w:ascii="仿宋_GB2312" w:hAnsi="仿宋_GB2312" w:cs="仿宋_GB2312"/>
          <w:color w:val="auto"/>
          <w:kern w:val="0"/>
          <w:szCs w:val="32"/>
          <w:highlight w:val="none"/>
          <w:shd w:val="clear" w:color="auto" w:fill="FFFFFF"/>
          <w:lang w:eastAsia="zh-CN"/>
        </w:rPr>
      </w:pPr>
    </w:p>
    <w:p w14:paraId="5EAA1FDC">
      <w:pPr>
        <w:keepNext w:val="0"/>
        <w:keepLines w:val="0"/>
        <w:pageBreakBefore w:val="0"/>
        <w:widowControl w:val="0"/>
        <w:kinsoku/>
        <w:wordWrap w:val="0"/>
        <w:overflowPunct/>
        <w:topLinePunct w:val="0"/>
        <w:autoSpaceDE/>
        <w:autoSpaceDN/>
        <w:bidi w:val="0"/>
        <w:adjustRightInd/>
        <w:spacing w:beforeLines="0" w:afterLines="0" w:line="560" w:lineRule="exact"/>
        <w:jc w:val="right"/>
        <w:textAlignment w:val="auto"/>
        <w:rPr>
          <w:rFonts w:hint="eastAsia" w:ascii="仿宋_GB2312" w:hAnsi="仿宋_GB2312" w:cs="仿宋_GB2312"/>
          <w:color w:val="auto"/>
          <w:kern w:val="0"/>
          <w:szCs w:val="32"/>
          <w:highlight w:val="none"/>
          <w:shd w:val="clear" w:color="auto" w:fill="FFFFFF"/>
          <w:lang w:eastAsia="zh-CN"/>
        </w:rPr>
      </w:pPr>
    </w:p>
    <w:p w14:paraId="6C3A7ED3">
      <w:pPr>
        <w:keepNext w:val="0"/>
        <w:keepLines w:val="0"/>
        <w:pageBreakBefore w:val="0"/>
        <w:widowControl w:val="0"/>
        <w:kinsoku/>
        <w:wordWrap w:val="0"/>
        <w:overflowPunct/>
        <w:topLinePunct w:val="0"/>
        <w:autoSpaceDE/>
        <w:autoSpaceDN/>
        <w:bidi w:val="0"/>
        <w:adjustRightInd/>
        <w:spacing w:beforeLines="0" w:afterLines="0" w:line="560" w:lineRule="exact"/>
        <w:jc w:val="right"/>
        <w:textAlignment w:val="auto"/>
        <w:rPr>
          <w:rFonts w:hint="eastAsia" w:ascii="仿宋_GB2312" w:hAnsi="仿宋_GB2312" w:cs="仿宋_GB2312"/>
          <w:color w:val="000000"/>
          <w:kern w:val="0"/>
          <w:szCs w:val="32"/>
          <w:shd w:val="clear" w:color="auto" w:fill="FFFFFF"/>
          <w:lang w:eastAsia="zh-CN"/>
        </w:rPr>
      </w:pPr>
      <w:r>
        <w:rPr>
          <w:rFonts w:hint="eastAsia" w:ascii="仿宋_GB2312" w:hAnsi="仿宋_GB2312" w:cs="仿宋_GB2312"/>
          <w:color w:val="auto"/>
          <w:kern w:val="0"/>
          <w:szCs w:val="32"/>
          <w:highlight w:val="none"/>
          <w:shd w:val="clear" w:color="auto" w:fill="FFFFFF"/>
          <w:lang w:eastAsia="zh-CN"/>
        </w:rPr>
        <w:t>清河县住房和城乡建设局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229BEF57">
      <w:pPr>
        <w:keepNext w:val="0"/>
        <w:keepLines w:val="0"/>
        <w:pageBreakBefore w:val="0"/>
        <w:widowControl w:val="0"/>
        <w:kinsoku/>
        <w:wordWrap w:val="0"/>
        <w:overflowPunct/>
        <w:topLinePunct w:val="0"/>
        <w:autoSpaceDE/>
        <w:autoSpaceDN/>
        <w:bidi w:val="0"/>
        <w:adjustRightInd/>
        <w:spacing w:beforeLines="0" w:afterLines="0" w:line="560" w:lineRule="exact"/>
        <w:ind w:right="0" w:firstLine="5440" w:firstLineChars="1700"/>
        <w:jc w:val="both"/>
        <w:textAlignment w:val="auto"/>
        <w:rPr>
          <w:rFonts w:hint="eastAsia" w:ascii="方正小标宋简体" w:hAnsi="方正小标宋简体" w:eastAsia="方正小标宋简体" w:cs="方正小标宋简体"/>
          <w:sz w:val="44"/>
          <w:szCs w:val="44"/>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val="en-US" w:eastAsia="zh-CN"/>
        </w:rPr>
        <w:t>日</w:t>
      </w:r>
    </w:p>
    <w:p w14:paraId="646AF8DC">
      <w:pPr>
        <w:spacing w:line="600" w:lineRule="exact"/>
        <w:jc w:val="both"/>
        <w:rPr>
          <w:rFonts w:hint="eastAsia" w:ascii="方正小标宋简体" w:hAnsi="方正小标宋简体" w:eastAsia="方正小标宋简体" w:cs="方正小标宋简体"/>
          <w:sz w:val="44"/>
          <w:szCs w:val="44"/>
          <w:lang w:eastAsia="zh-CN"/>
        </w:rPr>
      </w:pPr>
    </w:p>
    <w:p w14:paraId="718C70BE">
      <w:pPr>
        <w:spacing w:line="600" w:lineRule="exact"/>
        <w:jc w:val="both"/>
        <w:rPr>
          <w:rFonts w:hint="eastAsia" w:ascii="方正小标宋简体" w:hAnsi="方正小标宋简体" w:eastAsia="方正小标宋简体" w:cs="方正小标宋简体"/>
          <w:sz w:val="44"/>
          <w:szCs w:val="44"/>
          <w:lang w:eastAsia="zh-CN"/>
        </w:rPr>
      </w:pPr>
    </w:p>
    <w:p w14:paraId="0A7433E2">
      <w:pPr>
        <w:spacing w:line="600" w:lineRule="exact"/>
        <w:jc w:val="both"/>
        <w:rPr>
          <w:rFonts w:hint="eastAsia" w:ascii="方正小标宋简体" w:hAnsi="方正小标宋简体" w:eastAsia="方正小标宋简体" w:cs="方正小标宋简体"/>
          <w:sz w:val="44"/>
          <w:szCs w:val="44"/>
          <w:lang w:eastAsia="zh-CN"/>
        </w:rPr>
      </w:pPr>
    </w:p>
    <w:p w14:paraId="4329E536">
      <w:pPr>
        <w:spacing w:line="600" w:lineRule="exact"/>
        <w:jc w:val="both"/>
        <w:rPr>
          <w:rFonts w:hint="eastAsia" w:ascii="方正小标宋简体" w:hAnsi="方正小标宋简体" w:eastAsia="方正小标宋简体" w:cs="方正小标宋简体"/>
          <w:sz w:val="44"/>
          <w:szCs w:val="44"/>
          <w:lang w:eastAsia="zh-CN"/>
        </w:rPr>
      </w:pPr>
    </w:p>
    <w:p w14:paraId="0035DA62">
      <w:pPr>
        <w:spacing w:line="600" w:lineRule="exact"/>
        <w:jc w:val="center"/>
        <w:rPr>
          <w:rFonts w:ascii="仿宋_GB2312" w:hAnsi="仿宋_GB2312" w:cs="仿宋_GB2312"/>
          <w:color w:val="000000"/>
          <w:kern w:val="0"/>
          <w:szCs w:val="32"/>
          <w:shd w:val="clear" w:color="auto" w:fill="FFFFFF"/>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年建筑市场</w:t>
      </w: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部门联合随机抽查</w:t>
      </w:r>
      <w:r>
        <w:rPr>
          <w:rFonts w:hint="eastAsia" w:ascii="方正小标宋简体" w:hAnsi="方正小标宋简体" w:eastAsia="方正小标宋简体" w:cs="方正小标宋简体"/>
          <w:sz w:val="44"/>
          <w:szCs w:val="44"/>
        </w:rPr>
        <w:t>工作实施方案</w:t>
      </w:r>
    </w:p>
    <w:p w14:paraId="7577997F">
      <w:pPr>
        <w:spacing w:line="600" w:lineRule="exact"/>
        <w:ind w:firstLine="640" w:firstLineChars="200"/>
        <w:rPr>
          <w:rFonts w:hint="eastAsia" w:ascii="仿宋_GB2312" w:hAnsi="仿宋_GB2312" w:cs="仿宋_GB2312"/>
          <w:color w:val="000000"/>
          <w:kern w:val="0"/>
          <w:szCs w:val="32"/>
          <w:shd w:val="clear" w:color="auto" w:fill="FFFFFF"/>
        </w:rPr>
      </w:pPr>
    </w:p>
    <w:p w14:paraId="2A3132B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为进一步推进我县“双随机、一公开”监管工作持续、广泛、深入地开展，按照“双随机、一公开”监管工作抽查计划，由</w:t>
      </w:r>
      <w:r>
        <w:rPr>
          <w:rFonts w:hint="eastAsia" w:ascii="仿宋_GB2312" w:hAnsi="仿宋_GB2312" w:eastAsia="仿宋_GB2312" w:cs="仿宋_GB2312"/>
          <w:color w:val="000000"/>
          <w:kern w:val="0"/>
          <w:szCs w:val="32"/>
          <w:shd w:val="clear" w:color="auto" w:fill="FFFFFF"/>
          <w:lang w:eastAsia="zh-CN"/>
        </w:rPr>
        <w:t>县住房和城乡建设局牵头，县市场监督管理局配合，</w:t>
      </w:r>
      <w:r>
        <w:rPr>
          <w:rFonts w:hint="eastAsia" w:ascii="仿宋_GB2312" w:hAnsi="仿宋_GB2312" w:eastAsia="仿宋_GB2312" w:cs="仿宋_GB2312"/>
          <w:color w:val="auto"/>
          <w:kern w:val="0"/>
          <w:sz w:val="32"/>
          <w:szCs w:val="32"/>
          <w:lang w:val="en-US" w:eastAsia="zh-CN" w:bidi="ar-SA"/>
        </w:rPr>
        <w:t>开展跨部门“双随机、一公开”抽查工作</w:t>
      </w:r>
      <w:r>
        <w:rPr>
          <w:rFonts w:hint="eastAsia" w:ascii="仿宋_GB2312" w:hAnsi="仿宋_GB2312" w:eastAsia="仿宋_GB2312" w:cs="仿宋_GB2312"/>
          <w:kern w:val="0"/>
          <w:sz w:val="32"/>
          <w:szCs w:val="32"/>
        </w:rPr>
        <w:t>，现制定如下方案</w:t>
      </w:r>
      <w:r>
        <w:rPr>
          <w:rFonts w:hint="eastAsia" w:ascii="仿宋_GB2312" w:hAnsi="仿宋_GB2312" w:eastAsia="仿宋_GB2312" w:cs="仿宋_GB2312"/>
          <w:kern w:val="0"/>
          <w:sz w:val="32"/>
          <w:szCs w:val="32"/>
          <w:lang w:eastAsia="zh-CN"/>
        </w:rPr>
        <w:t>。</w:t>
      </w:r>
    </w:p>
    <w:p w14:paraId="3AC2D8CE">
      <w:pPr>
        <w:spacing w:line="600" w:lineRule="exact"/>
        <w:ind w:firstLine="640" w:firstLineChars="200"/>
        <w:rPr>
          <w:rFonts w:ascii="黑体" w:hAnsi="黑体" w:eastAsia="黑体" w:cs="黑体"/>
          <w:szCs w:val="32"/>
        </w:rPr>
      </w:pPr>
      <w:r>
        <w:rPr>
          <w:rFonts w:hint="eastAsia" w:ascii="黑体" w:hAnsi="黑体" w:eastAsia="黑体" w:cs="黑体"/>
          <w:szCs w:val="32"/>
        </w:rPr>
        <w:t>一、抽查时间</w:t>
      </w:r>
    </w:p>
    <w:p w14:paraId="6D662BE0">
      <w:pPr>
        <w:spacing w:line="60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202</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年</w:t>
      </w:r>
      <w:r>
        <w:rPr>
          <w:rFonts w:hint="eastAsia" w:ascii="宋体" w:hAnsi="宋体" w:eastAsia="宋体" w:cs="宋体"/>
          <w:szCs w:val="32"/>
          <w:highlight w:val="none"/>
          <w:lang w:val="en-US" w:eastAsia="zh-CN"/>
        </w:rPr>
        <w:t>8</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日至202</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年</w:t>
      </w:r>
      <w:r>
        <w:rPr>
          <w:rFonts w:hint="eastAsia" w:ascii="宋体" w:hAnsi="宋体" w:eastAsia="宋体" w:cs="宋体"/>
          <w:szCs w:val="32"/>
          <w:highlight w:val="none"/>
          <w:lang w:val="en-US" w:eastAsia="zh-CN"/>
        </w:rPr>
        <w:t>8</w:t>
      </w:r>
      <w:r>
        <w:rPr>
          <w:rFonts w:hint="eastAsia" w:ascii="仿宋_GB2312" w:hAnsi="仿宋_GB2312" w:cs="仿宋_GB2312"/>
          <w:szCs w:val="32"/>
          <w:highlight w:val="none"/>
        </w:rPr>
        <w:t>月3</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日。</w:t>
      </w:r>
    </w:p>
    <w:p w14:paraId="27BAC3C9">
      <w:pPr>
        <w:spacing w:line="600" w:lineRule="exact"/>
        <w:ind w:firstLine="640" w:firstLineChars="200"/>
        <w:rPr>
          <w:rFonts w:hint="eastAsia" w:ascii="黑体" w:hAnsi="黑体" w:eastAsia="黑体" w:cs="黑体"/>
          <w:szCs w:val="32"/>
          <w:lang w:eastAsia="zh-CN"/>
        </w:rPr>
      </w:pPr>
      <w:r>
        <w:rPr>
          <w:rFonts w:hint="eastAsia" w:ascii="黑体" w:hAnsi="黑体" w:eastAsia="黑体" w:cs="黑体"/>
          <w:szCs w:val="32"/>
        </w:rPr>
        <w:t>二、抽查对象</w:t>
      </w:r>
      <w:r>
        <w:rPr>
          <w:rFonts w:hint="eastAsia" w:ascii="黑体" w:hAnsi="黑体" w:eastAsia="黑体" w:cs="黑体"/>
          <w:szCs w:val="32"/>
          <w:lang w:eastAsia="zh-CN"/>
        </w:rPr>
        <w:t>及范围</w:t>
      </w:r>
    </w:p>
    <w:p w14:paraId="73E299E3">
      <w:pPr>
        <w:spacing w:line="60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全县范围内对所有注册地在我县且取得资质证书的</w:t>
      </w:r>
      <w:r>
        <w:rPr>
          <w:rFonts w:hint="eastAsia" w:ascii="仿宋_GB2312" w:hAnsi="仿宋_GB2312" w:cs="仿宋_GB2312"/>
          <w:color w:val="000000"/>
          <w:kern w:val="0"/>
          <w:szCs w:val="32"/>
          <w:shd w:val="clear" w:color="auto" w:fill="FFFFFF"/>
          <w:lang w:eastAsia="zh-CN"/>
        </w:rPr>
        <w:t>建筑</w:t>
      </w:r>
      <w:r>
        <w:rPr>
          <w:rFonts w:hint="eastAsia" w:ascii="仿宋_GB2312" w:hAnsi="仿宋_GB2312" w:cs="仿宋_GB2312"/>
          <w:color w:val="000000"/>
          <w:kern w:val="0"/>
          <w:szCs w:val="32"/>
          <w:shd w:val="clear" w:color="auto" w:fill="FFFFFF"/>
        </w:rPr>
        <w:t>企业，</w:t>
      </w:r>
      <w:r>
        <w:rPr>
          <w:rFonts w:hint="eastAsia" w:ascii="仿宋_GB2312" w:hAnsi="仿宋_GB2312" w:eastAsia="仿宋_GB2312" w:cs="仿宋_GB2312"/>
          <w:color w:val="auto"/>
          <w:kern w:val="0"/>
          <w:sz w:val="32"/>
          <w:szCs w:val="32"/>
          <w:lang w:val="en-US" w:eastAsia="zh-CN" w:bidi="ar-SA"/>
        </w:rPr>
        <w:t>充分运用信用风险分级分类进行本次部门联合抽查比例不低于10%。</w:t>
      </w:r>
    </w:p>
    <w:p w14:paraId="27568D52">
      <w:pPr>
        <w:spacing w:line="600" w:lineRule="exact"/>
        <w:ind w:firstLine="640" w:firstLineChars="200"/>
        <w:rPr>
          <w:rFonts w:hint="eastAsia" w:ascii="黑体" w:hAnsi="黑体" w:eastAsia="黑体" w:cs="黑体"/>
          <w:szCs w:val="32"/>
          <w:lang w:eastAsia="zh-CN"/>
        </w:rPr>
      </w:pPr>
      <w:r>
        <w:rPr>
          <w:rFonts w:hint="eastAsia" w:ascii="黑体" w:hAnsi="黑体" w:eastAsia="黑体" w:cs="黑体"/>
          <w:szCs w:val="32"/>
          <w:lang w:eastAsia="zh-CN"/>
        </w:rPr>
        <w:t>三、抽查实施部门</w:t>
      </w:r>
    </w:p>
    <w:p w14:paraId="5B0F9432">
      <w:pPr>
        <w:spacing w:line="60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lang w:eastAsia="zh-CN"/>
        </w:rPr>
        <w:t>清河县住房和城乡建设局、清河县市场监督管理局。</w:t>
      </w:r>
    </w:p>
    <w:p w14:paraId="37B6432B">
      <w:pPr>
        <w:spacing w:line="600" w:lineRule="exact"/>
        <w:ind w:firstLine="640" w:firstLineChars="200"/>
        <w:rPr>
          <w:rFonts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、抽查内容</w:t>
      </w:r>
    </w:p>
    <w:p w14:paraId="244F7D7F">
      <w:pPr>
        <w:spacing w:line="600" w:lineRule="exact"/>
        <w:ind w:firstLine="643" w:firstLineChars="200"/>
        <w:rPr>
          <w:rFonts w:hint="eastAsia" w:ascii="仿宋_GB2312" w:hAnsi="仿宋_GB2312" w:cs="仿宋_GB2312"/>
          <w:szCs w:val="32"/>
        </w:rPr>
      </w:pPr>
      <w:r>
        <w:rPr>
          <w:rFonts w:hint="eastAsia" w:ascii="仿宋_GB2312" w:hAnsi="仿宋_GB2312" w:cs="仿宋_GB2312"/>
          <w:b/>
          <w:bCs/>
          <w:szCs w:val="32"/>
          <w:lang w:eastAsia="zh-CN"/>
        </w:rPr>
        <w:t>（一）</w:t>
      </w:r>
      <w:r>
        <w:rPr>
          <w:rFonts w:hint="eastAsia" w:ascii="仿宋_GB2312" w:hAnsi="仿宋_GB2312" w:cs="仿宋_GB2312"/>
          <w:b/>
          <w:bCs/>
          <w:szCs w:val="32"/>
        </w:rPr>
        <w:t>住建局</w:t>
      </w:r>
      <w:r>
        <w:rPr>
          <w:rFonts w:hint="eastAsia" w:ascii="仿宋_GB2312" w:hAnsi="仿宋_GB2312" w:cs="仿宋_GB2312"/>
          <w:b/>
          <w:bCs/>
          <w:szCs w:val="32"/>
          <w:lang w:eastAsia="zh-CN"/>
        </w:rPr>
        <w:t>抽查事项</w:t>
      </w:r>
      <w:r>
        <w:rPr>
          <w:rFonts w:hint="eastAsia" w:ascii="仿宋_GB2312" w:hAnsi="仿宋_GB2312" w:cs="仿宋_GB2312"/>
          <w:b/>
          <w:bCs/>
          <w:szCs w:val="32"/>
        </w:rPr>
        <w:t>：</w:t>
      </w:r>
      <w:r>
        <w:rPr>
          <w:rFonts w:hint="eastAsia" w:ascii="仿宋_GB2312" w:hAnsi="仿宋_GB2312" w:cs="仿宋_GB2312"/>
          <w:szCs w:val="32"/>
        </w:rPr>
        <w:t>1、建筑施工企业资质（总承包特级、一级及部分专业一级除外）许可后的监督检查；工程监理企业资质许可后的监督检查；建设工程质量检测机构资质许可后的监督检查；对建设工程勘察、设计企业动态核查。2、建设领域注册执业人员注册许可后的监督检查；施工单位主要负责人、项目负责人资格许可后的监督检查；3、建筑市场监督检查；4、建筑市场市场行政监督管理行为的监督检查。</w:t>
      </w:r>
    </w:p>
    <w:p w14:paraId="69062CE9">
      <w:pPr>
        <w:spacing w:line="600" w:lineRule="exact"/>
        <w:ind w:firstLine="643" w:firstLineChars="200"/>
        <w:rPr>
          <w:rFonts w:hint="eastAsia" w:ascii="仿宋_GB2312" w:hAnsi="仿宋_GB2312" w:cs="仿宋_GB2312"/>
          <w:szCs w:val="32"/>
        </w:rPr>
      </w:pPr>
      <w:r>
        <w:rPr>
          <w:rFonts w:hint="eastAsia" w:ascii="仿宋_GB2312" w:hAnsi="仿宋_GB2312" w:cs="仿宋_GB2312"/>
          <w:b/>
          <w:bCs/>
          <w:szCs w:val="32"/>
          <w:lang w:eastAsia="zh-CN"/>
        </w:rPr>
        <w:t>（二）</w:t>
      </w:r>
      <w:r>
        <w:rPr>
          <w:rFonts w:hint="eastAsia" w:ascii="仿宋_GB2312" w:hAnsi="仿宋_GB2312" w:cs="仿宋_GB2312"/>
          <w:b/>
          <w:bCs/>
          <w:szCs w:val="32"/>
        </w:rPr>
        <w:t>市场监管局</w:t>
      </w:r>
      <w:r>
        <w:rPr>
          <w:rFonts w:hint="eastAsia" w:ascii="仿宋_GB2312" w:hAnsi="仿宋_GB2312" w:cs="仿宋_GB2312"/>
          <w:b/>
          <w:bCs/>
          <w:szCs w:val="32"/>
          <w:lang w:eastAsia="zh-CN"/>
        </w:rPr>
        <w:t>抽查事项</w:t>
      </w:r>
      <w:r>
        <w:rPr>
          <w:rFonts w:hint="eastAsia" w:ascii="仿宋_GB2312" w:hAnsi="仿宋_GB2312" w:cs="仿宋_GB2312"/>
          <w:b/>
          <w:bCs/>
          <w:szCs w:val="32"/>
        </w:rPr>
        <w:t>：</w:t>
      </w:r>
      <w:r>
        <w:rPr>
          <w:rFonts w:hint="eastAsia" w:ascii="仿宋_GB2312" w:hAnsi="仿宋_GB2312" w:cs="仿宋_GB2312"/>
          <w:szCs w:val="32"/>
        </w:rPr>
        <w:t>登记事项检查、公示信息检查。</w:t>
      </w:r>
    </w:p>
    <w:p w14:paraId="46564156">
      <w:pPr>
        <w:spacing w:line="560" w:lineRule="exact"/>
        <w:ind w:firstLine="660"/>
        <w:rPr>
          <w:rFonts w:hint="eastAsia" w:ascii="黑体" w:hAnsi="黑体" w:eastAsia="黑体" w:cs="黑体"/>
          <w:bCs/>
          <w:kern w:val="0"/>
          <w:sz w:val="32"/>
          <w:szCs w:val="32"/>
          <w:lang w:eastAsia="zh-CN"/>
        </w:rPr>
      </w:pPr>
      <w:r>
        <w:rPr>
          <w:rFonts w:hint="eastAsia" w:ascii="仿宋_GB2312" w:hAnsi="仿宋_GB2312" w:cs="仿宋_GB2312"/>
          <w:color w:val="000000"/>
          <w:sz w:val="32"/>
          <w:szCs w:val="32"/>
          <w:shd w:val="clear" w:color="auto" w:fill="FFFFFF"/>
        </w:rPr>
        <w:t>  </w:t>
      </w:r>
      <w:r>
        <w:rPr>
          <w:rFonts w:hint="eastAsia" w:ascii="黑体" w:hAnsi="黑体" w:eastAsia="黑体" w:cs="黑体"/>
          <w:bCs/>
          <w:kern w:val="0"/>
          <w:sz w:val="32"/>
          <w:szCs w:val="32"/>
          <w:lang w:eastAsia="zh-CN"/>
        </w:rPr>
        <w:t>五、组织实施</w:t>
      </w:r>
    </w:p>
    <w:p w14:paraId="47BF1678">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（一）任务分工</w:t>
      </w:r>
    </w:p>
    <w:p w14:paraId="2F7D2272">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县</w:t>
      </w:r>
      <w:r>
        <w:rPr>
          <w:rFonts w:hint="eastAsia" w:ascii="仿宋_GB2312" w:hAnsi="仿宋_GB2312" w:cs="仿宋_GB2312"/>
          <w:color w:val="auto"/>
          <w:kern w:val="0"/>
          <w:sz w:val="32"/>
          <w:szCs w:val="32"/>
          <w:lang w:val="en-US" w:eastAsia="zh-CN" w:bidi="ar-SA"/>
        </w:rPr>
        <w:t>住房和城乡建设局</w:t>
      </w:r>
      <w:r>
        <w:rPr>
          <w:rFonts w:hint="eastAsia" w:ascii="仿宋_GB2312" w:hAnsi="仿宋_GB2312" w:eastAsia="仿宋_GB2312" w:cs="仿宋_GB2312"/>
          <w:color w:val="auto"/>
          <w:kern w:val="0"/>
          <w:sz w:val="32"/>
          <w:szCs w:val="32"/>
          <w:lang w:val="en-US" w:eastAsia="zh-CN" w:bidi="ar-SA"/>
        </w:rPr>
        <w:t>负责总体部署和沟通协调，制定抽查工作</w:t>
      </w:r>
      <w:r>
        <w:rPr>
          <w:rFonts w:hint="eastAsia" w:ascii="仿宋_GB2312" w:hAnsi="仿宋_GB2312" w:cs="仿宋_GB2312"/>
          <w:color w:val="auto"/>
          <w:kern w:val="0"/>
          <w:sz w:val="32"/>
          <w:szCs w:val="32"/>
          <w:lang w:val="en-US" w:eastAsia="zh-CN" w:bidi="ar-SA"/>
        </w:rPr>
        <w:t>实施</w:t>
      </w:r>
      <w:r>
        <w:rPr>
          <w:rFonts w:hint="eastAsia" w:ascii="仿宋_GB2312" w:hAnsi="仿宋_GB2312" w:eastAsia="仿宋_GB2312" w:cs="仿宋_GB2312"/>
          <w:color w:val="auto"/>
          <w:kern w:val="0"/>
          <w:sz w:val="32"/>
          <w:szCs w:val="32"/>
          <w:lang w:val="en-US" w:eastAsia="zh-CN" w:bidi="ar-SA"/>
        </w:rPr>
        <w:t>方案，确定抽查对象库，随机抽取检查对象名单，完成本部门的执法检查人员匹配后，将结果共享给县市场监督管理局</w:t>
      </w:r>
      <w:r>
        <w:rPr>
          <w:rFonts w:hint="eastAsia" w:ascii="仿宋_GB2312" w:hAnsi="仿宋_GB2312" w:cs="仿宋_GB2312"/>
          <w:color w:val="auto"/>
          <w:kern w:val="0"/>
          <w:sz w:val="32"/>
          <w:szCs w:val="32"/>
          <w:lang w:val="en-US" w:eastAsia="zh-CN" w:bidi="ar-SA"/>
        </w:rPr>
        <w:t xml:space="preserve">。 </w:t>
      </w:r>
    </w:p>
    <w:p w14:paraId="2BDFD804">
      <w:pPr>
        <w:keepNext w:val="0"/>
        <w:keepLines w:val="0"/>
        <w:pageBreakBefore w:val="0"/>
        <w:widowControl w:val="0"/>
        <w:tabs>
          <w:tab w:val="left" w:pos="189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县市场监督管理局在接收到抽查名单后，3个工作日内完成对被检查对象的认领，并根据部门实际从本部门或本系统中检查人员名录库中随机选派检查人员。</w:t>
      </w:r>
    </w:p>
    <w:p w14:paraId="5D9E4743">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牵头部门负责联系协同部门的检查人员，组成联合检查组，在约定时间按照规定的检查事项内容现场对检查对象一次性完成检查。各检查部门分别填写本部门的《双随机抽查检查记录表》后，由参加检查人员和检查对象的法定代表人（或负责人）进行签字（盖章）确认。</w:t>
      </w:r>
    </w:p>
    <w:p w14:paraId="2ADE3F5A">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参加此次抽查的部门要密切配合、加强协作，在要求时限内完成对涉及本部门随机抽查事项的检查、录入、公示。</w:t>
      </w:r>
    </w:p>
    <w:p w14:paraId="0B723DFC">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（二）检查方式</w:t>
      </w:r>
    </w:p>
    <w:p w14:paraId="6DE16BD5">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可以采取书面检查、实地核查、网络检查等方式，也可以依法利用其他政府部门作出的检查、核查结果或者其他专业机构作出的专业结论。</w:t>
      </w:r>
    </w:p>
    <w:p w14:paraId="489C8E79">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对检查对象进行实地核查时，每个部门检查人员应当不少于2人，检查人员应当填写检查表，并由检查对象负责人签字</w:t>
      </w:r>
      <w:r>
        <w:rPr>
          <w:rFonts w:hint="eastAsia" w:ascii="仿宋_GB2312" w:hAnsi="仿宋_GB2312" w:cs="仿宋_GB2312"/>
          <w:color w:val="auto"/>
          <w:kern w:val="0"/>
          <w:sz w:val="32"/>
          <w:szCs w:val="32"/>
          <w:lang w:val="en-US" w:eastAsia="zh-CN" w:bidi="ar-SA"/>
        </w:rPr>
        <w:t>（盖章）</w:t>
      </w:r>
      <w:r>
        <w:rPr>
          <w:rFonts w:hint="eastAsia" w:ascii="仿宋_GB2312" w:hAnsi="仿宋_GB2312" w:eastAsia="仿宋_GB2312" w:cs="仿宋_GB2312"/>
          <w:color w:val="auto"/>
          <w:kern w:val="0"/>
          <w:sz w:val="32"/>
          <w:szCs w:val="32"/>
          <w:lang w:val="en-US" w:eastAsia="zh-CN" w:bidi="ar-SA"/>
        </w:rPr>
        <w:t>确认，拒绝签字的应当在检查表上如实记录。</w:t>
      </w:r>
    </w:p>
    <w:p w14:paraId="55377B07">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（三）抽查结果公示</w:t>
      </w:r>
    </w:p>
    <w:p w14:paraId="5BA91BCB">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检查部门应按照“谁检查、谁录入”的原则，在检查完成之日起20个工作日内将检查结果录入河北省双随机执法监管平台，并通过国家企业信用信息公示系统（河北）向社会公示。已实施检查但未依法进行公示的，视为未完成抽查任务。</w:t>
      </w:r>
    </w:p>
    <w:p w14:paraId="2510A792">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（四）现场检查发现问题的处理方式</w:t>
      </w:r>
    </w:p>
    <w:p w14:paraId="648F86B0">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1、对现场检查发现的违法问题，违法行为轻微的，采取教育、建议、提醒等行政指导措施，引导其合法守信经营。</w:t>
      </w:r>
    </w:p>
    <w:p w14:paraId="15E98219">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2、违法行为严重，需要立案处理的，检查人员应将问题线索移交给本部门案件查办机构。</w:t>
      </w:r>
    </w:p>
    <w:p w14:paraId="39755BF6">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3、发现违法问题不属于本部门职责范围的，应当及时移送相应监管部门处理。涉嫌犯罪的，移送公安司法机关处理。</w:t>
      </w:r>
    </w:p>
    <w:p w14:paraId="56C77437">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4、后续处置结果及时录入“河北省双随机执法监管平台”中“后续处置”模块，确保后续监管到位，形成监管闭环。</w:t>
      </w:r>
    </w:p>
    <w:p w14:paraId="1722EED4">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六、工作要求</w:t>
      </w:r>
    </w:p>
    <w:p w14:paraId="39635FA0">
      <w:pPr>
        <w:ind w:firstLine="640" w:firstLineChars="200"/>
        <w:jc w:val="left"/>
      </w:pPr>
      <w:r>
        <w:rPr>
          <w:rFonts w:hint="eastAsia" w:ascii="仿宋_GB2312" w:hAnsi="仿宋_GB2312" w:eastAsia="仿宋_GB2312" w:cs="仿宋_GB2312"/>
          <w:color w:val="auto"/>
          <w:kern w:val="0"/>
          <w:sz w:val="32"/>
          <w:szCs w:val="32"/>
          <w:lang w:val="en-US" w:eastAsia="zh-CN" w:bidi="ar-SA"/>
        </w:rPr>
        <w:t>县</w:t>
      </w:r>
      <w:r>
        <w:rPr>
          <w:rFonts w:hint="eastAsia" w:ascii="仿宋_GB2312" w:hAnsi="仿宋_GB2312" w:cs="仿宋_GB2312"/>
          <w:color w:val="auto"/>
          <w:kern w:val="0"/>
          <w:sz w:val="32"/>
          <w:szCs w:val="32"/>
          <w:lang w:val="en-US" w:eastAsia="zh-CN" w:bidi="ar-SA"/>
        </w:rPr>
        <w:t>住房和城乡建设局</w:t>
      </w:r>
      <w:r>
        <w:rPr>
          <w:rFonts w:hint="eastAsia" w:ascii="仿宋_GB2312" w:hAnsi="仿宋_GB2312" w:eastAsia="仿宋_GB2312" w:cs="仿宋_GB2312"/>
          <w:color w:val="auto"/>
          <w:kern w:val="0"/>
          <w:sz w:val="32"/>
          <w:szCs w:val="32"/>
          <w:lang w:val="en-US" w:eastAsia="zh-CN" w:bidi="ar-SA"/>
        </w:rPr>
        <w:t>要发挥好牵头作用，县市场监管局要积极配合，共同推进工作，形成执法合力。特别是对认领、匹配人员等重要环节，要严格按照时限要求完成。部门相关业务处室要结合职责，强化工作指导和业务培训，积极指导、解答在抽查中遇到的疑难问题，防止抽查检查流于形式、走过场，确保执法人员履职尽责，提高监管效率和质量。</w:t>
      </w:r>
    </w:p>
    <w:p w14:paraId="62711565">
      <w:pPr>
        <w:spacing w:line="600" w:lineRule="exact"/>
        <w:rPr>
          <w:rFonts w:ascii="仿宋_GB2312" w:hAnsi="仿宋_GB2312" w:cs="仿宋_GB2312"/>
          <w:spacing w:val="-9"/>
          <w:szCs w:val="32"/>
        </w:rPr>
      </w:pPr>
    </w:p>
    <w:p w14:paraId="1B527079">
      <w:pPr>
        <w:spacing w:line="600" w:lineRule="exact"/>
        <w:rPr>
          <w:rFonts w:ascii="仿宋_GB2312" w:hAnsi="仿宋_GB2312" w:cs="仿宋_GB2312"/>
          <w:spacing w:val="-9"/>
          <w:szCs w:val="32"/>
        </w:rPr>
      </w:pPr>
    </w:p>
    <w:p w14:paraId="494F68A3">
      <w:pPr>
        <w:spacing w:line="600" w:lineRule="exact"/>
        <w:rPr>
          <w:rFonts w:ascii="仿宋_GB2312" w:hAnsi="仿宋_GB2312" w:cs="仿宋_GB2312"/>
          <w:spacing w:val="-9"/>
          <w:szCs w:val="32"/>
        </w:rPr>
      </w:pPr>
    </w:p>
    <w:p w14:paraId="64F1722D">
      <w:pPr>
        <w:spacing w:line="600" w:lineRule="exact"/>
        <w:rPr>
          <w:rFonts w:ascii="仿宋_GB2312" w:hAnsi="仿宋_GB2312" w:cs="仿宋_GB2312"/>
          <w:spacing w:val="-9"/>
          <w:szCs w:val="32"/>
        </w:rPr>
      </w:pPr>
    </w:p>
    <w:p w14:paraId="49DBCE89">
      <w:pPr>
        <w:spacing w:line="600" w:lineRule="exact"/>
        <w:jc w:val="right"/>
        <w:rPr>
          <w:rFonts w:hint="default" w:ascii="仿宋_GB2312" w:hAnsi="仿宋_GB2312" w:eastAsia="仿宋_GB2312" w:cs="仿宋_GB2312"/>
          <w:spacing w:val="-9"/>
          <w:szCs w:val="32"/>
          <w:highlight w:val="none"/>
          <w:lang w:val="en-US" w:eastAsia="zh-CN"/>
        </w:rPr>
      </w:pPr>
      <w:r>
        <w:rPr>
          <w:rFonts w:hint="eastAsia" w:ascii="仿宋_GB2312" w:hAnsi="仿宋_GB2312" w:cs="仿宋_GB2312"/>
          <w:spacing w:val="-9"/>
          <w:szCs w:val="32"/>
          <w:highlight w:val="none"/>
          <w:lang w:val="en-US" w:eastAsia="zh-CN"/>
        </w:rPr>
        <w:t>2025年7月25日</w:t>
      </w:r>
    </w:p>
    <w:sectPr>
      <w:footerReference r:id="rId5" w:type="default"/>
      <w:pgSz w:w="11906" w:h="16838"/>
      <w:pgMar w:top="2098" w:right="1474" w:bottom="1984" w:left="1587" w:header="851" w:footer="124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6373AE-BCE6-4F91-88D2-0E4FDC6FF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39D6BB5-DD05-42B4-8DE8-D4B861DF0A1E}"/>
  </w:font>
  <w:font w:name="方正小标宋_GBK">
    <w:panose1 w:val="02000000000000000000"/>
    <w:charset w:val="86"/>
    <w:family w:val="script"/>
    <w:pitch w:val="default"/>
    <w:sig w:usb0="A00002BF" w:usb1="38CF7CFA" w:usb2="00082016" w:usb3="00000000" w:csb0="00040001" w:csb1="00000000"/>
  </w:font>
  <w:font w:name="方正大标宋_GBK">
    <w:panose1 w:val="02000000000000000000"/>
    <w:charset w:val="86"/>
    <w:family w:val="script"/>
    <w:pitch w:val="default"/>
    <w:sig w:usb0="A00002BF" w:usb1="08CF7CFA" w:usb2="00000000" w:usb3="00000000" w:csb0="00040001" w:csb1="00000000"/>
    <w:embedRegular r:id="rId3" w:fontKey="{FFBD62AB-E3B6-4CFC-9A32-FF8FE4DE7DE9}"/>
  </w:font>
  <w:font w:name="Calibri Light">
    <w:panose1 w:val="020F0302020204030204"/>
    <w:charset w:val="00"/>
    <w:family w:val="swiss"/>
    <w:pitch w:val="default"/>
    <w:sig w:usb0="E4002EFF" w:usb1="C000247B" w:usb2="00000009" w:usb3="00000000" w:csb0="200001FF" w:csb1="00000000"/>
    <w:embedRegular r:id="rId4" w:fontKey="{18346896-B1F9-450A-9006-0D0D11D3635E}"/>
  </w:font>
  <w:font w:name="方正小标宋简体">
    <w:panose1 w:val="02000000000000000000"/>
    <w:charset w:val="86"/>
    <w:family w:val="auto"/>
    <w:pitch w:val="default"/>
    <w:sig w:usb0="00000001" w:usb1="080E0000" w:usb2="00000000" w:usb3="00000000" w:csb0="00040000" w:csb1="00000000"/>
    <w:embedRegular r:id="rId5" w:fontKey="{7F338883-3B80-434B-801B-0BA605E78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E18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536E30">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536E30">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mJjMjAyMDgyMDIwODVhYWI1ODkzZDQ1ZmIyODkifQ=="/>
  </w:docVars>
  <w:rsids>
    <w:rsidRoot w:val="7E0003D2"/>
    <w:rsid w:val="000D4DCA"/>
    <w:rsid w:val="00183896"/>
    <w:rsid w:val="003B0024"/>
    <w:rsid w:val="0040713E"/>
    <w:rsid w:val="00523370"/>
    <w:rsid w:val="00563B06"/>
    <w:rsid w:val="006D00BB"/>
    <w:rsid w:val="008702DE"/>
    <w:rsid w:val="008E2A0E"/>
    <w:rsid w:val="00917C4B"/>
    <w:rsid w:val="009967FC"/>
    <w:rsid w:val="00D208F8"/>
    <w:rsid w:val="00D266EA"/>
    <w:rsid w:val="00D452C2"/>
    <w:rsid w:val="021A2CF8"/>
    <w:rsid w:val="029B5671"/>
    <w:rsid w:val="05CC379E"/>
    <w:rsid w:val="07A86404"/>
    <w:rsid w:val="0BC821A3"/>
    <w:rsid w:val="0C37453B"/>
    <w:rsid w:val="0D1508EB"/>
    <w:rsid w:val="10191BE8"/>
    <w:rsid w:val="10367C37"/>
    <w:rsid w:val="11282B88"/>
    <w:rsid w:val="119B6BA4"/>
    <w:rsid w:val="11A77CBF"/>
    <w:rsid w:val="125673B1"/>
    <w:rsid w:val="15455AF0"/>
    <w:rsid w:val="15B8435D"/>
    <w:rsid w:val="15DB5A7B"/>
    <w:rsid w:val="17B25BFC"/>
    <w:rsid w:val="1D352D41"/>
    <w:rsid w:val="1E51534F"/>
    <w:rsid w:val="1E586286"/>
    <w:rsid w:val="204F3B10"/>
    <w:rsid w:val="21296020"/>
    <w:rsid w:val="217A2148"/>
    <w:rsid w:val="24833D88"/>
    <w:rsid w:val="253F4A8A"/>
    <w:rsid w:val="25982830"/>
    <w:rsid w:val="26D829E9"/>
    <w:rsid w:val="28DA0357"/>
    <w:rsid w:val="29A70519"/>
    <w:rsid w:val="29AE5D4B"/>
    <w:rsid w:val="2A865EE6"/>
    <w:rsid w:val="2DE07C07"/>
    <w:rsid w:val="2F9206A0"/>
    <w:rsid w:val="2FC82F97"/>
    <w:rsid w:val="2FE01366"/>
    <w:rsid w:val="3096020A"/>
    <w:rsid w:val="3268280F"/>
    <w:rsid w:val="35632ECE"/>
    <w:rsid w:val="35E1267C"/>
    <w:rsid w:val="371B1DE8"/>
    <w:rsid w:val="3D797F97"/>
    <w:rsid w:val="3E387387"/>
    <w:rsid w:val="3FB038E5"/>
    <w:rsid w:val="43EC715C"/>
    <w:rsid w:val="448D0D02"/>
    <w:rsid w:val="4B4D095D"/>
    <w:rsid w:val="4F321EB2"/>
    <w:rsid w:val="50580C20"/>
    <w:rsid w:val="509F54EE"/>
    <w:rsid w:val="50F55306"/>
    <w:rsid w:val="51375E3B"/>
    <w:rsid w:val="52A024E2"/>
    <w:rsid w:val="52AC4FDC"/>
    <w:rsid w:val="52FA3752"/>
    <w:rsid w:val="53E22B02"/>
    <w:rsid w:val="544C79C5"/>
    <w:rsid w:val="54FF1482"/>
    <w:rsid w:val="566D0F45"/>
    <w:rsid w:val="583F7DC0"/>
    <w:rsid w:val="58C1657A"/>
    <w:rsid w:val="5C384E7D"/>
    <w:rsid w:val="60FB3D4C"/>
    <w:rsid w:val="612826F1"/>
    <w:rsid w:val="61470313"/>
    <w:rsid w:val="618139EA"/>
    <w:rsid w:val="62AB7CB0"/>
    <w:rsid w:val="62DA699B"/>
    <w:rsid w:val="63E86A0C"/>
    <w:rsid w:val="641A2587"/>
    <w:rsid w:val="644627DD"/>
    <w:rsid w:val="661679DE"/>
    <w:rsid w:val="692D2D5A"/>
    <w:rsid w:val="6BD02DB8"/>
    <w:rsid w:val="6CA1008C"/>
    <w:rsid w:val="6EF93C5D"/>
    <w:rsid w:val="723032EA"/>
    <w:rsid w:val="736C7FF8"/>
    <w:rsid w:val="73B57F81"/>
    <w:rsid w:val="765E30D5"/>
    <w:rsid w:val="7A0051A4"/>
    <w:rsid w:val="7B0A5510"/>
    <w:rsid w:val="7B5B12AE"/>
    <w:rsid w:val="7C5C3E92"/>
    <w:rsid w:val="7C610ED4"/>
    <w:rsid w:val="7D372721"/>
    <w:rsid w:val="7E0003D2"/>
    <w:rsid w:val="7E0230FD"/>
    <w:rsid w:val="7EC81956"/>
    <w:rsid w:val="7F8C1C33"/>
    <w:rsid w:val="7FA62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tabs>
        <w:tab w:val="left" w:pos="180"/>
      </w:tabs>
      <w:spacing w:line="500" w:lineRule="exact"/>
    </w:pPr>
  </w:style>
  <w:style w:type="paragraph" w:styleId="4">
    <w:name w:val="footer"/>
    <w:basedOn w:val="1"/>
    <w:qFormat/>
    <w:uiPriority w:val="0"/>
    <w:pPr>
      <w:tabs>
        <w:tab w:val="center" w:pos="4153"/>
        <w:tab w:val="right" w:pos="8306"/>
      </w:tabs>
      <w:snapToGrid w:val="0"/>
      <w:spacing w:line="240" w:lineRule="auto"/>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widowControl/>
      <w:spacing w:after="100" w:line="276" w:lineRule="auto"/>
      <w:ind w:left="220"/>
      <w:jc w:val="left"/>
    </w:pPr>
    <w:rPr>
      <w:kern w:val="0"/>
      <w:sz w:val="22"/>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3">
    <w:name w:val="表格文字"/>
    <w:basedOn w:val="1"/>
    <w:next w:val="3"/>
    <w:qFormat/>
    <w:uiPriority w:val="0"/>
    <w:pPr>
      <w:adjustRightInd w:val="0"/>
      <w:spacing w:line="420" w:lineRule="atLeast"/>
      <w:jc w:val="left"/>
      <w:textAlignment w:val="baseline"/>
    </w:pPr>
    <w:rPr>
      <w:kern w:val="0"/>
      <w:szCs w:val="20"/>
    </w:rPr>
  </w:style>
  <w:style w:type="paragraph" w:styleId="14">
    <w:name w:val="List Paragraph"/>
    <w:basedOn w:val="1"/>
    <w:qFormat/>
    <w:uiPriority w:val="34"/>
    <w:pPr>
      <w:ind w:firstLine="420" w:firstLineChars="200"/>
    </w:pPr>
  </w:style>
  <w:style w:type="character" w:customStyle="1" w:styleId="15">
    <w:name w:val="font21"/>
    <w:basedOn w:val="10"/>
    <w:qFormat/>
    <w:uiPriority w:val="0"/>
    <w:rPr>
      <w:rFonts w:hint="eastAsia" w:ascii="宋体" w:hAnsi="宋体" w:eastAsia="宋体" w:cs="宋体"/>
      <w:color w:val="000000"/>
      <w:sz w:val="20"/>
      <w:szCs w:val="20"/>
      <w:u w:val="none"/>
    </w:rPr>
  </w:style>
  <w:style w:type="character" w:customStyle="1" w:styleId="16">
    <w:name w:val="font31"/>
    <w:basedOn w:val="10"/>
    <w:qFormat/>
    <w:uiPriority w:val="0"/>
    <w:rPr>
      <w:rFonts w:hint="eastAsia" w:ascii="宋体" w:hAnsi="宋体" w:eastAsia="宋体" w:cs="宋体"/>
      <w:b/>
      <w:bCs/>
      <w:color w:val="000000"/>
      <w:sz w:val="20"/>
      <w:szCs w:val="20"/>
      <w:u w:val="none"/>
    </w:rPr>
  </w:style>
  <w:style w:type="character" w:customStyle="1" w:styleId="17">
    <w:name w:val="font51"/>
    <w:basedOn w:val="10"/>
    <w:qFormat/>
    <w:uiPriority w:val="0"/>
    <w:rPr>
      <w:rFonts w:hint="eastAsia" w:ascii="宋体" w:hAnsi="宋体" w:eastAsia="宋体" w:cs="宋体"/>
      <w:b/>
      <w:bCs/>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0"/>
      <w:szCs w:val="20"/>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71"/>
    <w:basedOn w:val="10"/>
    <w:qFormat/>
    <w:uiPriority w:val="0"/>
    <w:rPr>
      <w:rFonts w:hint="eastAsia" w:ascii="宋体" w:hAnsi="宋体" w:eastAsia="宋体" w:cs="宋体"/>
      <w:b/>
      <w:bCs/>
      <w:color w:val="000000"/>
      <w:sz w:val="20"/>
      <w:szCs w:val="20"/>
      <w:u w:val="none"/>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1613</Words>
  <Characters>1643</Characters>
  <Lines>5</Lines>
  <Paragraphs>1</Paragraphs>
  <TotalTime>4</TotalTime>
  <ScaleCrop>false</ScaleCrop>
  <LinksUpToDate>false</LinksUpToDate>
  <CharactersWithSpaces>1653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2018-03-19T07:00:00Z</dcterms:created>
  <dc:creator>Administrator</dc:creator>
  <cp:lastModifiedBy>许新洲</cp:lastModifiedBy>
  <cp:lastPrinted>2022-09-26T00:59:00Z</cp:lastPrinted>
  <dcterms:modified xsi:type="dcterms:W3CDTF">2025-07-25T01:53:26Z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0C7786FC8C484F6C80102E21A8499A7A_13</vt:lpwstr>
  </property>
  <property fmtid="{D5CDD505-2E9C-101B-9397-08002B2CF9AE}" pid="4" name="KSOTemplateDocerSaveRecord">
    <vt:lpwstr>eyJoZGlkIjoiZTZkZWU3ODg2ZjVmZmIzODk2MzcxOTE2YWJjNDM5ZmEiLCJ1c2VySWQiOiIxNjg5MzI2ODk4In0=</vt:lpwstr>
  </property>
</Properties>
</file>