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宋体" w:hAnsi="宋体" w:eastAsia="宋体" w:cs="宋体"/>
          <w:b/>
          <w:bCs w:val="0"/>
          <w:i w:val="0"/>
          <w:iCs w:val="0"/>
          <w:caps w:val="0"/>
          <w:color w:val="auto"/>
          <w:spacing w:val="0"/>
          <w:sz w:val="44"/>
          <w:szCs w:val="44"/>
        </w:rPr>
      </w:pPr>
      <w:r>
        <w:rPr>
          <w:rStyle w:val="7"/>
          <w:rFonts w:hint="eastAsia" w:ascii="宋体" w:hAnsi="宋体" w:eastAsia="宋体" w:cs="宋体"/>
          <w:b/>
          <w:bCs w:val="0"/>
          <w:i w:val="0"/>
          <w:iCs w:val="0"/>
          <w:caps w:val="0"/>
          <w:color w:val="auto"/>
          <w:spacing w:val="0"/>
          <w:sz w:val="44"/>
          <w:szCs w:val="44"/>
          <w:shd w:val="clear" w:fill="FFFFFF"/>
          <w:lang w:eastAsia="zh-CN"/>
        </w:rPr>
        <w:t>清河县科技和工业</w:t>
      </w:r>
      <w:r>
        <w:rPr>
          <w:rStyle w:val="7"/>
          <w:rFonts w:hint="eastAsia" w:ascii="宋体" w:hAnsi="宋体" w:eastAsia="宋体" w:cs="宋体"/>
          <w:b/>
          <w:bCs w:val="0"/>
          <w:i w:val="0"/>
          <w:iCs w:val="0"/>
          <w:caps w:val="0"/>
          <w:color w:val="auto"/>
          <w:spacing w:val="0"/>
          <w:sz w:val="44"/>
          <w:szCs w:val="44"/>
          <w:shd w:val="clear" w:fill="FFFFFF"/>
        </w:rPr>
        <w:t>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宋体" w:hAnsi="宋体" w:eastAsia="宋体" w:cs="宋体"/>
          <w:b/>
          <w:bCs w:val="0"/>
          <w:i w:val="0"/>
          <w:iCs w:val="0"/>
          <w:caps w:val="0"/>
          <w:color w:val="auto"/>
          <w:spacing w:val="0"/>
          <w:sz w:val="44"/>
          <w:szCs w:val="44"/>
          <w:lang w:eastAsia="zh-CN"/>
        </w:rPr>
      </w:pPr>
      <w:r>
        <w:rPr>
          <w:rStyle w:val="7"/>
          <w:rFonts w:hint="eastAsia" w:ascii="宋体" w:hAnsi="宋体" w:eastAsia="宋体" w:cs="宋体"/>
          <w:b/>
          <w:bCs w:val="0"/>
          <w:i w:val="0"/>
          <w:iCs w:val="0"/>
          <w:caps w:val="0"/>
          <w:color w:val="auto"/>
          <w:spacing w:val="0"/>
          <w:sz w:val="44"/>
          <w:szCs w:val="44"/>
          <w:shd w:val="clear" w:fill="FFFFFF"/>
        </w:rPr>
        <w:t>202</w:t>
      </w:r>
      <w:r>
        <w:rPr>
          <w:rStyle w:val="7"/>
          <w:rFonts w:hint="eastAsia" w:ascii="宋体" w:hAnsi="宋体" w:eastAsia="宋体" w:cs="宋体"/>
          <w:b/>
          <w:bCs w:val="0"/>
          <w:i w:val="0"/>
          <w:iCs w:val="0"/>
          <w:caps w:val="0"/>
          <w:color w:val="auto"/>
          <w:spacing w:val="0"/>
          <w:sz w:val="44"/>
          <w:szCs w:val="44"/>
          <w:shd w:val="clear" w:fill="FFFFFF"/>
          <w:lang w:val="en-US" w:eastAsia="zh-CN"/>
        </w:rPr>
        <w:t>4</w:t>
      </w:r>
      <w:r>
        <w:rPr>
          <w:rStyle w:val="7"/>
          <w:rFonts w:hint="eastAsia" w:ascii="宋体" w:hAnsi="宋体" w:eastAsia="宋体" w:cs="宋体"/>
          <w:b/>
          <w:bCs w:val="0"/>
          <w:i w:val="0"/>
          <w:iCs w:val="0"/>
          <w:caps w:val="0"/>
          <w:color w:val="auto"/>
          <w:spacing w:val="0"/>
          <w:sz w:val="44"/>
          <w:szCs w:val="44"/>
          <w:shd w:val="clear" w:fill="FFFFFF"/>
        </w:rPr>
        <w:t>年度政府信息公开工作报告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根据《中华人民共和国政府信息公开条例》（国务院令第492号）相关规定，现发布《</w:t>
      </w:r>
      <w:r>
        <w:rPr>
          <w:rFonts w:hint="eastAsia" w:ascii="仿宋_GB2312" w:hAnsi="仿宋_GB2312" w:eastAsia="仿宋_GB2312" w:cs="仿宋_GB2312"/>
          <w:i w:val="0"/>
          <w:iCs w:val="0"/>
          <w:caps w:val="0"/>
          <w:color w:val="auto"/>
          <w:spacing w:val="0"/>
          <w:sz w:val="32"/>
          <w:szCs w:val="32"/>
          <w:shd w:val="clear" w:fill="FFFFFF"/>
          <w:lang w:eastAsia="zh-CN"/>
        </w:rPr>
        <w:t>清河县科技和工业信息化局</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年度政府信息公开工作报告》。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本报告由总体情况</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、公开政府信息情况、政策解读情况、工作中存在的主要问题和改进措施等部分组成</w:t>
      </w:r>
      <w:r>
        <w:rPr>
          <w:rFonts w:hint="eastAsia" w:ascii="仿宋" w:hAnsi="仿宋" w:eastAsia="仿宋" w:cs="仿宋"/>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本报告中所列数据的统计期限为202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年1月1日至202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default" w:ascii="仿宋_GB2312" w:hAnsi="仿宋_GB2312" w:eastAsia="仿宋_GB2312" w:cs="仿宋_GB2312"/>
          <w:i w:val="0"/>
          <w:iCs w:val="0"/>
          <w:caps w:val="0"/>
          <w:color w:val="auto"/>
          <w:spacing w:val="0"/>
          <w:sz w:val="32"/>
          <w:szCs w:val="32"/>
          <w:shd w:val="clear" w:fill="FFFFFF"/>
          <w:lang w:val="en-US" w:eastAsia="zh-CN"/>
        </w:rPr>
        <w:t>年，我局深入实施《</w:t>
      </w:r>
      <w:r>
        <w:rPr>
          <w:rFonts w:hint="eastAsia" w:ascii="仿宋_GB2312" w:hAnsi="仿宋_GB2312" w:eastAsia="仿宋_GB2312" w:cs="仿宋_GB2312"/>
          <w:i w:val="0"/>
          <w:iCs w:val="0"/>
          <w:caps w:val="0"/>
          <w:color w:val="auto"/>
          <w:spacing w:val="0"/>
          <w:sz w:val="32"/>
          <w:szCs w:val="32"/>
          <w:shd w:val="clear" w:fill="FFFFFF"/>
          <w:lang w:val="en-US" w:eastAsia="zh-CN"/>
        </w:rPr>
        <w:t>中华人民共和国</w:t>
      </w:r>
      <w:r>
        <w:rPr>
          <w:rFonts w:hint="default" w:ascii="仿宋_GB2312" w:hAnsi="仿宋_GB2312" w:eastAsia="仿宋_GB2312" w:cs="仿宋_GB2312"/>
          <w:i w:val="0"/>
          <w:iCs w:val="0"/>
          <w:caps w:val="0"/>
          <w:color w:val="auto"/>
          <w:spacing w:val="0"/>
          <w:sz w:val="32"/>
          <w:szCs w:val="32"/>
          <w:shd w:val="clear" w:fill="FFFFFF"/>
          <w:lang w:val="en-US" w:eastAsia="zh-CN"/>
        </w:rPr>
        <w:t>政府信息公开条例》，按照建设法治政府、创新政府、廉洁政府和服务型政府的总体要求，推进重点领域信息公开工作的落实，积极推进依法行政，全面推动政民互动，做好两会建议提案办理结果公开，不断加大政府信息公开力度，政府信息公开工作整体迈上新的台阶；加强信息发布、政策解读工作，强化制度机制和平台建设，不断扩大公开范围、细化公开内容、增强公开实效，切实保障人民群众的知情权和监督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（一）健全工作机制。</w:t>
      </w:r>
      <w:r>
        <w:rPr>
          <w:rFonts w:hint="default" w:ascii="仿宋_GB2312" w:hAnsi="仿宋_GB2312" w:eastAsia="仿宋_GB2312" w:cs="仿宋_GB2312"/>
          <w:i w:val="0"/>
          <w:iCs w:val="0"/>
          <w:caps w:val="0"/>
          <w:color w:val="auto"/>
          <w:spacing w:val="0"/>
          <w:sz w:val="32"/>
          <w:szCs w:val="32"/>
          <w:shd w:val="clear" w:fill="FFFFFF"/>
          <w:lang w:val="en-US" w:eastAsia="zh-CN"/>
        </w:rPr>
        <w:t>建立了基层政务公开保障机制。调整了以局领导为组长，有关科室负责人为成员的政务公开工作领导小组，明确了主管领导和责任科室，并在局网站上公开其职责。认真贯彻落实《中华人民共和国政府信息公开条例》的各项规定，做好衔接过渡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楷体_GB2312" w:hAnsi="楷体_GB2312" w:eastAsia="楷体_GB2312" w:cs="楷体_GB2312"/>
          <w:i w:val="0"/>
          <w:iCs w:val="0"/>
          <w:caps w:val="0"/>
          <w:color w:val="auto"/>
          <w:spacing w:val="0"/>
          <w:sz w:val="32"/>
          <w:szCs w:val="32"/>
          <w:shd w:val="clear" w:fill="FFFFFF"/>
          <w:lang w:val="en-US" w:eastAsia="zh-CN"/>
        </w:rPr>
        <w:t>（二）继续推进“五公开”和重点领域信息公开。</w:t>
      </w:r>
      <w:r>
        <w:rPr>
          <w:rFonts w:hint="default" w:ascii="仿宋_GB2312" w:hAnsi="仿宋_GB2312" w:eastAsia="仿宋_GB2312" w:cs="仿宋_GB2312"/>
          <w:i w:val="0"/>
          <w:iCs w:val="0"/>
          <w:caps w:val="0"/>
          <w:color w:val="auto"/>
          <w:spacing w:val="0"/>
          <w:sz w:val="32"/>
          <w:szCs w:val="32"/>
          <w:shd w:val="clear" w:fill="FFFFFF"/>
          <w:lang w:val="en-US" w:eastAsia="zh-CN"/>
        </w:rPr>
        <w:t>一是制定了《</w:t>
      </w:r>
      <w:r>
        <w:rPr>
          <w:rFonts w:hint="eastAsia" w:ascii="仿宋_GB2312" w:hAnsi="仿宋_GB2312" w:eastAsia="仿宋_GB2312" w:cs="仿宋_GB2312"/>
          <w:i w:val="0"/>
          <w:iCs w:val="0"/>
          <w:caps w:val="0"/>
          <w:color w:val="auto"/>
          <w:spacing w:val="0"/>
          <w:sz w:val="32"/>
          <w:szCs w:val="32"/>
          <w:shd w:val="clear" w:fill="FFFFFF"/>
          <w:lang w:val="en-US" w:eastAsia="zh-CN"/>
        </w:rPr>
        <w:t>清河县科技和工业信息化局信息公开制度</w:t>
      </w:r>
      <w:r>
        <w:rPr>
          <w:rFonts w:hint="default" w:ascii="仿宋_GB2312" w:hAnsi="仿宋_GB2312" w:eastAsia="仿宋_GB2312" w:cs="仿宋_GB2312"/>
          <w:i w:val="0"/>
          <w:iCs w:val="0"/>
          <w:caps w:val="0"/>
          <w:color w:val="auto"/>
          <w:spacing w:val="0"/>
          <w:sz w:val="32"/>
          <w:szCs w:val="32"/>
          <w:shd w:val="clear" w:fill="FFFFFF"/>
          <w:lang w:val="en-US" w:eastAsia="zh-CN"/>
        </w:rPr>
        <w:t>》，把公众参与、专家论证、风险评估、合法性审查和集体讨论决定作为重大决策的必经程序，坚持重大行政决策必须经合法性审查，未经合法性审查或经审查不合法的，不得提交讨论，进一步增强公共政策制定透明度和公众参与度。二是结合机构改革和简政放权，及时公开并动态调整权责清单，并根据权责清单调整及时动态更新政务公开事项清单；三是按时限要求对完成了年度人大代表建议和政协委员提案在局网站和政府信息公开平台上进行了公开，自觉接受党内监督、人大监督、民主监督、司法监督；主动公开“双随机</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default" w:ascii="仿宋_GB2312" w:hAnsi="仿宋_GB2312" w:eastAsia="仿宋_GB2312" w:cs="仿宋_GB2312"/>
          <w:i w:val="0"/>
          <w:iCs w:val="0"/>
          <w:caps w:val="0"/>
          <w:color w:val="auto"/>
          <w:spacing w:val="0"/>
          <w:sz w:val="32"/>
          <w:szCs w:val="32"/>
          <w:shd w:val="clear" w:fill="FFFFFF"/>
          <w:lang w:val="en-US" w:eastAsia="zh-CN"/>
        </w:rPr>
        <w:t>一公开”、疫情防控等信息。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（三）主动公开规定内容。</w:t>
      </w:r>
      <w:r>
        <w:rPr>
          <w:rFonts w:hint="default" w:ascii="仿宋_GB2312" w:hAnsi="仿宋_GB2312" w:eastAsia="仿宋_GB2312" w:cs="仿宋_GB2312"/>
          <w:i w:val="0"/>
          <w:iCs w:val="0"/>
          <w:caps w:val="0"/>
          <w:color w:val="auto"/>
          <w:spacing w:val="0"/>
          <w:sz w:val="32"/>
          <w:szCs w:val="32"/>
          <w:shd w:val="clear" w:fill="FFFFFF"/>
          <w:lang w:val="en-US" w:eastAsia="zh-CN"/>
        </w:rPr>
        <w:t>一是及时调整公开局机关的机关职能、机构设置、办公地址、办公时间、联系方式负责人姓名等机构信息；二是对政策文件设置专门栏目或链接，及时公开更新局机关执行的行政法规、规章、规范性文件等信息，并在政府网站主动公开本部门制定的规划信息；我局无执法权限，不涉及行政许可、行政处罚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720"/>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二、主动公开政府信息情况</w:t>
      </w:r>
    </w:p>
    <w:tbl>
      <w:tblPr>
        <w:tblStyle w:val="5"/>
        <w:tblW w:w="9067"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29"/>
        <w:gridCol w:w="1724"/>
        <w:gridCol w:w="2128"/>
        <w:gridCol w:w="2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0" w:hRule="atLeast"/>
          <w:tblCellSpacing w:w="15" w:type="dxa"/>
        </w:trPr>
        <w:tc>
          <w:tcPr>
            <w:tcW w:w="9007"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信息内容</w:t>
            </w:r>
          </w:p>
        </w:tc>
        <w:tc>
          <w:tcPr>
            <w:tcW w:w="16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本年新制作数量</w:t>
            </w:r>
          </w:p>
        </w:tc>
        <w:tc>
          <w:tcPr>
            <w:tcW w:w="209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本年新公开数量</w:t>
            </w:r>
          </w:p>
        </w:tc>
        <w:tc>
          <w:tcPr>
            <w:tcW w:w="26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规章</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26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规范性文件</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0</w:t>
            </w:r>
          </w:p>
        </w:tc>
        <w:tc>
          <w:tcPr>
            <w:tcW w:w="26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blCellSpacing w:w="15" w:type="dxa"/>
        </w:trPr>
        <w:tc>
          <w:tcPr>
            <w:tcW w:w="9007"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信息内容</w:t>
            </w:r>
          </w:p>
        </w:tc>
        <w:tc>
          <w:tcPr>
            <w:tcW w:w="16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上一年项目数量</w:t>
            </w:r>
          </w:p>
        </w:tc>
        <w:tc>
          <w:tcPr>
            <w:tcW w:w="209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本年增/减</w:t>
            </w:r>
          </w:p>
        </w:tc>
        <w:tc>
          <w:tcPr>
            <w:tcW w:w="26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行政许可</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26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其他对外管理服务事项</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26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CellSpacing w:w="15" w:type="dxa"/>
        </w:trPr>
        <w:tc>
          <w:tcPr>
            <w:tcW w:w="9007"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信息内容</w:t>
            </w:r>
          </w:p>
        </w:tc>
        <w:tc>
          <w:tcPr>
            <w:tcW w:w="16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上一年项目数量</w:t>
            </w:r>
          </w:p>
        </w:tc>
        <w:tc>
          <w:tcPr>
            <w:tcW w:w="209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本年增/减</w:t>
            </w:r>
          </w:p>
        </w:tc>
        <w:tc>
          <w:tcPr>
            <w:tcW w:w="26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行政处罚</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26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行政强制</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26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15" w:type="dxa"/>
        </w:trPr>
        <w:tc>
          <w:tcPr>
            <w:tcW w:w="9007"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信息内容</w:t>
            </w:r>
          </w:p>
        </w:tc>
        <w:tc>
          <w:tcPr>
            <w:tcW w:w="16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上一年项目数量</w:t>
            </w:r>
          </w:p>
        </w:tc>
        <w:tc>
          <w:tcPr>
            <w:tcW w:w="4769"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rPr>
              <w:t>行政事业性收费</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476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三、收到和处理政府信息公开申请情况</w:t>
      </w:r>
    </w:p>
    <w:tbl>
      <w:tblPr>
        <w:tblStyle w:val="5"/>
        <w:tblW w:w="93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25"/>
        <w:gridCol w:w="1305"/>
        <w:gridCol w:w="2372"/>
        <w:gridCol w:w="673"/>
        <w:gridCol w:w="673"/>
        <w:gridCol w:w="662"/>
        <w:gridCol w:w="719"/>
        <w:gridCol w:w="673"/>
        <w:gridCol w:w="741"/>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00" w:hRule="atLeast"/>
          <w:tblCellSpacing w:w="15" w:type="dxa"/>
        </w:trPr>
        <w:tc>
          <w:tcPr>
            <w:tcW w:w="4557"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（本列数据的勾稽关系为：第一项加第二项之和，等于第三项加第四项之和）</w:t>
            </w:r>
          </w:p>
        </w:tc>
        <w:tc>
          <w:tcPr>
            <w:tcW w:w="4728" w:type="dxa"/>
            <w:gridSpan w:val="7"/>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15" w:type="dxa"/>
        </w:trPr>
        <w:tc>
          <w:tcPr>
            <w:tcW w:w="4557"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643"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自然人</w:t>
            </w:r>
          </w:p>
        </w:tc>
        <w:tc>
          <w:tcPr>
            <w:tcW w:w="3438"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法人或其他组织</w:t>
            </w:r>
          </w:p>
        </w:tc>
        <w:tc>
          <w:tcPr>
            <w:tcW w:w="587"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blCellSpacing w:w="15" w:type="dxa"/>
        </w:trPr>
        <w:tc>
          <w:tcPr>
            <w:tcW w:w="4557"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黑体" w:hAnsi="黑体" w:eastAsia="黑体" w:cs="黑体"/>
                <w:i w:val="0"/>
                <w:iCs w:val="0"/>
                <w:caps w:val="0"/>
                <w:color w:val="auto"/>
                <w:spacing w:val="0"/>
                <w:sz w:val="32"/>
                <w:szCs w:val="32"/>
              </w:rPr>
            </w:pPr>
          </w:p>
        </w:tc>
        <w:tc>
          <w:tcPr>
            <w:tcW w:w="643"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黑体" w:hAnsi="黑体" w:eastAsia="黑体" w:cs="黑体"/>
                <w:i w:val="0"/>
                <w:iCs w:val="0"/>
                <w:caps w:val="0"/>
                <w:color w:val="auto"/>
                <w:spacing w:val="0"/>
                <w:sz w:val="32"/>
                <w:szCs w:val="32"/>
              </w:rPr>
            </w:pP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商业企业</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科研机构</w:t>
            </w:r>
          </w:p>
        </w:tc>
        <w:tc>
          <w:tcPr>
            <w:tcW w:w="68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社会公益组织</w:t>
            </w:r>
          </w:p>
        </w:tc>
        <w:tc>
          <w:tcPr>
            <w:tcW w:w="64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法律服务机构</w:t>
            </w:r>
          </w:p>
        </w:tc>
        <w:tc>
          <w:tcPr>
            <w:tcW w:w="71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其他</w:t>
            </w:r>
          </w:p>
        </w:tc>
        <w:tc>
          <w:tcPr>
            <w:tcW w:w="587"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黑体" w:hAnsi="黑体" w:eastAsia="黑体" w:cs="黑体"/>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4557"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一、本年新收政府信息公开申请数量</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4557"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二、上年结转政府信息公开申请数量</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果</w:t>
            </w:r>
          </w:p>
        </w:tc>
        <w:tc>
          <w:tcPr>
            <w:tcW w:w="3647"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（一）予以公开</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3647"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（二）部分公开（区分处理的，只计这一情形，不计其他情形）</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（三）不予公开</w:t>
            </w: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1.属于国家秘密</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2.其他法律行政法规禁止公开</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3.危及“三安全一稳定”</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4.保护第三方合法权益</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5.属于三类内部事务信息</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6.属于四类过程性信息</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7.属于行政执法案卷</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8.属于行政查询事项</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（四）无法提供</w:t>
            </w: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1.本机关不掌握相关政府信息</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2.没有现成信息需要另行制作</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3.补正后申请内容仍不明确</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（五）不予处理</w:t>
            </w: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1.信访举报投诉类申请</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2.重复申请</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3.要求提供公开出版物</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4.无正当理由大量反复申请</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5.要求行政机关确认或重新出具已获取信息</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3647"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（六）其他处理</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3647"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（七）总计</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4557"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四、结转下年度继续办理</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四、政府信息公开行政复议行政诉讼情况</w:t>
      </w:r>
    </w:p>
    <w:tbl>
      <w:tblPr>
        <w:tblStyle w:val="5"/>
        <w:tblW w:w="933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16"/>
        <w:gridCol w:w="592"/>
        <w:gridCol w:w="598"/>
        <w:gridCol w:w="618"/>
        <w:gridCol w:w="575"/>
        <w:gridCol w:w="637"/>
        <w:gridCol w:w="637"/>
        <w:gridCol w:w="637"/>
        <w:gridCol w:w="611"/>
        <w:gridCol w:w="575"/>
        <w:gridCol w:w="598"/>
        <w:gridCol w:w="605"/>
        <w:gridCol w:w="624"/>
        <w:gridCol w:w="592"/>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blCellSpacing w:w="15" w:type="dxa"/>
        </w:trPr>
        <w:tc>
          <w:tcPr>
            <w:tcW w:w="2954"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行政复议</w:t>
            </w:r>
          </w:p>
        </w:tc>
        <w:tc>
          <w:tcPr>
            <w:tcW w:w="6286" w:type="dxa"/>
            <w:gridSpan w:val="10"/>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blCellSpacing w:w="15" w:type="dxa"/>
        </w:trPr>
        <w:tc>
          <w:tcPr>
            <w:tcW w:w="571"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维持</w:t>
            </w:r>
          </w:p>
        </w:tc>
        <w:tc>
          <w:tcPr>
            <w:tcW w:w="562"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纠正</w:t>
            </w:r>
          </w:p>
        </w:tc>
        <w:tc>
          <w:tcPr>
            <w:tcW w:w="568"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结果</w:t>
            </w:r>
          </w:p>
        </w:tc>
        <w:tc>
          <w:tcPr>
            <w:tcW w:w="588"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审结</w:t>
            </w:r>
          </w:p>
        </w:tc>
        <w:tc>
          <w:tcPr>
            <w:tcW w:w="54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总计</w:t>
            </w:r>
          </w:p>
        </w:tc>
        <w:tc>
          <w:tcPr>
            <w:tcW w:w="3067"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未经复议直接起诉</w:t>
            </w:r>
          </w:p>
        </w:tc>
        <w:tc>
          <w:tcPr>
            <w:tcW w:w="3189"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15" w:type="dxa"/>
        </w:trPr>
        <w:tc>
          <w:tcPr>
            <w:tcW w:w="571"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562"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568"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588"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54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仿宋_GB2312" w:hAnsi="仿宋_GB2312" w:eastAsia="仿宋_GB2312" w:cs="仿宋_GB2312"/>
                <w:b/>
                <w:bCs/>
                <w:i w:val="0"/>
                <w:iCs w:val="0"/>
                <w:caps w:val="0"/>
                <w:color w:val="auto"/>
                <w:spacing w:val="0"/>
                <w:sz w:val="32"/>
                <w:szCs w:val="32"/>
              </w:rPr>
            </w:pP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维持</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纠正</w:t>
            </w:r>
          </w:p>
        </w:tc>
        <w:tc>
          <w:tcPr>
            <w:tcW w:w="60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结果</w:t>
            </w:r>
          </w:p>
        </w:tc>
        <w:tc>
          <w:tcPr>
            <w:tcW w:w="58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审结</w:t>
            </w:r>
          </w:p>
        </w:tc>
        <w:tc>
          <w:tcPr>
            <w:tcW w:w="5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总计</w:t>
            </w:r>
          </w:p>
        </w:tc>
        <w:tc>
          <w:tcPr>
            <w:tcW w:w="56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维持</w:t>
            </w:r>
          </w:p>
        </w:tc>
        <w:tc>
          <w:tcPr>
            <w:tcW w:w="5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纠正</w:t>
            </w:r>
          </w:p>
        </w:tc>
        <w:tc>
          <w:tcPr>
            <w:tcW w:w="5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结果</w:t>
            </w:r>
          </w:p>
        </w:tc>
        <w:tc>
          <w:tcPr>
            <w:tcW w:w="56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审结</w:t>
            </w:r>
          </w:p>
        </w:tc>
        <w:tc>
          <w:tcPr>
            <w:tcW w:w="7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57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56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56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58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5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5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5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c>
          <w:tcPr>
            <w:tcW w:w="56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5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59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56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0</w:t>
            </w:r>
          </w:p>
        </w:tc>
        <w:tc>
          <w:tcPr>
            <w:tcW w:w="77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年政府信息公开工作虽然取得了一定的成效，但仍存在差距和不足：信息公开工作的广度和深度还不够，还不能完全满足群众和企业期望和需求。202</w:t>
      </w: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清河县科技和工业</w:t>
      </w:r>
      <w:r>
        <w:rPr>
          <w:rFonts w:hint="default" w:ascii="仿宋_GB2312" w:hAnsi="仿宋_GB2312" w:eastAsia="仿宋_GB2312" w:cs="仿宋_GB2312"/>
          <w:kern w:val="2"/>
          <w:sz w:val="32"/>
          <w:szCs w:val="32"/>
          <w:lang w:val="en-US" w:eastAsia="zh-CN" w:bidi="ar-SA"/>
        </w:rPr>
        <w:t>信息化局将继续加大政府信息公开工作力度，以人民群众的需求为出发点和落脚点，重点开展以下几个方面工作：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一是及时发布和更新依法应主动公开的政务信息，确保我局政务信息及时公开，进一步完善我局信息公开制度，不断建立健全工作机制，维护政务信息公开工作的正常秩序。二是进一步加强网站建设</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充分利用</w:t>
      </w:r>
      <w:r>
        <w:rPr>
          <w:rFonts w:hint="eastAsia" w:ascii="仿宋_GB2312" w:hAnsi="仿宋_GB2312" w:eastAsia="仿宋_GB2312" w:cs="仿宋_GB2312"/>
          <w:kern w:val="2"/>
          <w:sz w:val="32"/>
          <w:szCs w:val="32"/>
          <w:lang w:val="en-US" w:eastAsia="zh-CN" w:bidi="ar-SA"/>
        </w:rPr>
        <w:t>县</w:t>
      </w:r>
      <w:r>
        <w:rPr>
          <w:rFonts w:hint="default" w:ascii="仿宋_GB2312" w:hAnsi="仿宋_GB2312" w:eastAsia="仿宋_GB2312" w:cs="仿宋_GB2312"/>
          <w:kern w:val="2"/>
          <w:sz w:val="32"/>
          <w:szCs w:val="32"/>
          <w:lang w:val="en-US" w:eastAsia="zh-CN" w:bidi="ar-SA"/>
        </w:rPr>
        <w:t>政府信息平台，实现政务信息网上公开，切实提高办事透明度，接受社会监督，努力提高</w:t>
      </w:r>
      <w:r>
        <w:rPr>
          <w:rFonts w:hint="eastAsia" w:ascii="仿宋_GB2312" w:hAnsi="仿宋_GB2312" w:eastAsia="仿宋_GB2312" w:cs="仿宋_GB2312"/>
          <w:kern w:val="2"/>
          <w:sz w:val="32"/>
          <w:szCs w:val="32"/>
          <w:lang w:val="en-US" w:eastAsia="zh-CN" w:bidi="ar-SA"/>
        </w:rPr>
        <w:t>科技和</w:t>
      </w:r>
      <w:r>
        <w:rPr>
          <w:rFonts w:hint="default" w:ascii="仿宋_GB2312" w:hAnsi="仿宋_GB2312" w:eastAsia="仿宋_GB2312" w:cs="仿宋_GB2312"/>
          <w:kern w:val="2"/>
          <w:sz w:val="32"/>
          <w:szCs w:val="32"/>
          <w:lang w:val="en-US" w:eastAsia="zh-CN" w:bidi="ar-SA"/>
        </w:rPr>
        <w:t>工信系统行政效能和公信力，更好地为企业提供便利的服务。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rPr>
        <w:t>（一）主动公开政府信息情况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年，在政府网站上主动公开的政府信息10余条。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楷体_GB2312" w:hAnsi="楷体_GB2312" w:eastAsia="楷体_GB2312" w:cs="楷体_GB2312"/>
          <w:i w:val="0"/>
          <w:iCs w:val="0"/>
          <w:caps w:val="0"/>
          <w:color w:val="auto"/>
          <w:spacing w:val="0"/>
          <w:sz w:val="32"/>
          <w:szCs w:val="32"/>
          <w:shd w:val="clear" w:fill="FFFFFF"/>
        </w:rPr>
      </w:pPr>
      <w:r>
        <w:rPr>
          <w:rFonts w:hint="default" w:ascii="楷体_GB2312" w:hAnsi="楷体_GB2312" w:eastAsia="楷体_GB2312" w:cs="楷体_GB2312"/>
          <w:i w:val="0"/>
          <w:iCs w:val="0"/>
          <w:caps w:val="0"/>
          <w:color w:val="auto"/>
          <w:spacing w:val="0"/>
          <w:sz w:val="32"/>
          <w:szCs w:val="32"/>
          <w:shd w:val="clear" w:fill="FFFFFF"/>
        </w:rPr>
        <w:t>（二）依申请公开政府信息情况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年，未收到信息公开申请。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楷体_GB2312" w:hAnsi="楷体_GB2312" w:eastAsia="楷体_GB2312" w:cs="楷体_GB2312"/>
          <w:i w:val="0"/>
          <w:iCs w:val="0"/>
          <w:caps w:val="0"/>
          <w:color w:val="auto"/>
          <w:spacing w:val="0"/>
          <w:sz w:val="32"/>
          <w:szCs w:val="32"/>
          <w:shd w:val="clear" w:fill="FFFFFF"/>
          <w:lang w:val="en-US" w:eastAsia="zh-CN"/>
        </w:rPr>
      </w:pPr>
      <w:r>
        <w:rPr>
          <w:rFonts w:hint="default" w:ascii="楷体_GB2312" w:hAnsi="楷体_GB2312" w:eastAsia="楷体_GB2312" w:cs="楷体_GB2312"/>
          <w:i w:val="0"/>
          <w:iCs w:val="0"/>
          <w:caps w:val="0"/>
          <w:color w:val="auto"/>
          <w:spacing w:val="0"/>
          <w:sz w:val="32"/>
          <w:szCs w:val="32"/>
          <w:shd w:val="clear" w:fill="FFFFFF"/>
        </w:rPr>
        <w:t>（三）行政复议及行政诉讼情况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年，未出现因依申请公开引起的行政复议、行政诉讼等情况。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jc w:val="both"/>
        <w:textAlignment w:val="auto"/>
        <w:rPr>
          <w:rFonts w:hint="default" w:ascii="楷体_GB2312" w:hAnsi="楷体_GB2312" w:eastAsia="楷体_GB2312" w:cs="楷体_GB2312"/>
          <w:i w:val="0"/>
          <w:iCs w:val="0"/>
          <w:caps w:val="0"/>
          <w:color w:val="auto"/>
          <w:spacing w:val="0"/>
          <w:sz w:val="32"/>
          <w:szCs w:val="32"/>
          <w:shd w:val="clear" w:fill="FFFFFF"/>
        </w:rPr>
      </w:pPr>
      <w:r>
        <w:rPr>
          <w:rFonts w:hint="default" w:ascii="楷体_GB2312" w:hAnsi="楷体_GB2312" w:eastAsia="楷体_GB2312" w:cs="楷体_GB2312"/>
          <w:i w:val="0"/>
          <w:iCs w:val="0"/>
          <w:caps w:val="0"/>
          <w:color w:val="auto"/>
          <w:spacing w:val="0"/>
          <w:sz w:val="32"/>
          <w:szCs w:val="32"/>
          <w:shd w:val="clear" w:fill="FFFFFF"/>
        </w:rPr>
        <w:t>（四）政策解读情况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640" w:firstLineChars="200"/>
        <w:jc w:val="both"/>
        <w:textAlignment w:val="auto"/>
        <w:rPr>
          <w:rFonts w:hint="eastAsia" w:ascii="雅黑" w:hAnsi="雅黑" w:eastAsia="雅黑" w:cs="雅黑"/>
          <w:i w:val="0"/>
          <w:iCs w:val="0"/>
          <w:caps w:val="0"/>
          <w:color w:val="auto"/>
          <w:spacing w:val="0"/>
          <w:sz w:val="27"/>
          <w:szCs w:val="27"/>
          <w:lang w:eastAsia="zh-CN"/>
        </w:rPr>
      </w:pPr>
      <w:r>
        <w:rPr>
          <w:rFonts w:hint="eastAsia" w:ascii="仿宋_GB2312" w:hAnsi="仿宋_GB2312" w:eastAsia="仿宋_GB2312" w:cs="仿宋_GB2312"/>
          <w:sz w:val="32"/>
          <w:szCs w:val="32"/>
          <w:lang w:val="en-US" w:eastAsia="zh-CN"/>
        </w:rPr>
        <w:t>我局充分发挥政务新媒体宣传力度，建立了政策发布解读制度，开设了政策解读栏目，充分利用政务信息公开平台、微信群、融媒体等向县内企业及时推送政策解读相关信息，确保企业了解政策、用好政策。</w:t>
      </w:r>
    </w:p>
    <w:p>
      <w:pPr>
        <w:keepNext w:val="0"/>
        <w:keepLines w:val="0"/>
        <w:pageBreakBefore w:val="0"/>
        <w:kinsoku/>
        <w:wordWrap/>
        <w:overflowPunct/>
        <w:topLinePunct w:val="0"/>
        <w:autoSpaceDE/>
        <w:autoSpaceDN/>
        <w:bidi w:val="0"/>
        <w:adjustRightInd/>
        <w:snapToGrid/>
        <w:spacing w:line="640" w:lineRule="exact"/>
        <w:textAlignment w:val="auto"/>
        <w:rPr>
          <w:color w:val="auto"/>
        </w:rPr>
      </w:pPr>
    </w:p>
    <w:sectPr>
      <w:footerReference r:id="rId3" w:type="default"/>
      <w:pgSz w:w="11906" w:h="16838"/>
      <w:pgMar w:top="2098" w:right="1474"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2811780</wp:posOffset>
              </wp:positionH>
              <wp:positionV relativeFrom="paragraph">
                <wp:posOffset>-71120</wp:posOffset>
              </wp:positionV>
              <wp:extent cx="361950" cy="217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195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1.4pt;margin-top:-5.6pt;height:17.1pt;width:28.5pt;mso-position-horizontal-relative:margin;z-index:251659264;mso-width-relative:page;mso-height-relative:page;" filled="f" stroked="f" coordsize="21600,21600" o:gfxdata="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Twrq/YAAAACgEAAA8A&#10;AAAAAAAAAQAgAAAAIgAAAGRycy9kb3ducmV2LnhtbFBLAQIUABQAAAAIAIdO4kCEpUCpFwIAABME&#10;AAAOAAAAAAAAAAEAIAAAACcBAABkcnMvZTJvRG9jLnhtbFBLBQYAAAAABgAGAFkBAACwBQAAAAA=&#10;">
              <v:fill on="f" focussize="0,0"/>
              <v:stroke on="f" weight="0.5pt"/>
              <v:imagedata o:title=""/>
              <o:lock v:ext="edit" aspectratio="f"/>
              <v:textbox inset="0mm,0mm,0mm,0mm">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zA4OWIzNzEzNmMzNjcwMmVmMjkzYmUzOGIzMGIifQ=="/>
  </w:docVars>
  <w:rsids>
    <w:rsidRoot w:val="79592449"/>
    <w:rsid w:val="04C90462"/>
    <w:rsid w:val="04D54072"/>
    <w:rsid w:val="07FE6829"/>
    <w:rsid w:val="0F47534B"/>
    <w:rsid w:val="13F71B07"/>
    <w:rsid w:val="14376FF4"/>
    <w:rsid w:val="1C6A7AC5"/>
    <w:rsid w:val="1EC46C2B"/>
    <w:rsid w:val="2792184C"/>
    <w:rsid w:val="28FC7E11"/>
    <w:rsid w:val="292B2781"/>
    <w:rsid w:val="38DA615F"/>
    <w:rsid w:val="397C670C"/>
    <w:rsid w:val="39FD2AEC"/>
    <w:rsid w:val="3A5F6513"/>
    <w:rsid w:val="4890414F"/>
    <w:rsid w:val="48E617BA"/>
    <w:rsid w:val="4DD47B71"/>
    <w:rsid w:val="4F550CDF"/>
    <w:rsid w:val="53B66FC1"/>
    <w:rsid w:val="56620665"/>
    <w:rsid w:val="56D056E7"/>
    <w:rsid w:val="588E64A9"/>
    <w:rsid w:val="661B63F0"/>
    <w:rsid w:val="734C725A"/>
    <w:rsid w:val="79592449"/>
    <w:rsid w:val="7F76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503</Words>
  <Characters>522</Characters>
  <Lines>0</Lines>
  <Paragraphs>0</Paragraphs>
  <TotalTime>34</TotalTime>
  <ScaleCrop>false</ScaleCrop>
  <LinksUpToDate>false</LinksUpToDate>
  <CharactersWithSpaces>522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2023-01-16T02:41:00Z</dcterms:created>
  <dc:creator>Wenbo</dc:creator>
  <cp:lastModifiedBy>demon</cp:lastModifiedBy>
  <dcterms:modified xsi:type="dcterms:W3CDTF">2025-01-16T01:29:38Z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05CE46E526164AC2B6D1A57B6CF16A1E_13</vt:lpwstr>
  </property>
  <property fmtid="{D5CDD505-2E9C-101B-9397-08002B2CF9AE}" pid="4" name="KSOTemplateDocerSaveRecord">
    <vt:lpwstr>eyJoZGlkIjoiMDVkNjZlODVmMTE1NTAxMDk4MDg3ZjAzNTNhMmIwOTAiLCJ1c2VySWQiOiIyOTgxNDk0MDAifQ==</vt:lpwstr>
  </property>
</Properties>
</file>