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15B8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</w:pPr>
    </w:p>
    <w:p w14:paraId="2F0CE7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清河县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人民政府</w:t>
      </w:r>
    </w:p>
    <w:p w14:paraId="62029CC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年政府信息公开工作年度报告</w:t>
      </w:r>
    </w:p>
    <w:p w14:paraId="7B78F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2024年，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清河县人民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严格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落实党中央、国务院关于全面推进政务公开工作的部署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认真贯彻落实《中华人民共和国政府信息公开条例》，政府信息公开工作逐步做到制度化、常态化、规范化。现结合我县实际情况，面向社会公布清河县人民政府202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年度政府信息公开工作年度报告。</w:t>
      </w:r>
    </w:p>
    <w:p w14:paraId="4A0E2A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总体情况</w:t>
      </w:r>
      <w:bookmarkStart w:id="0" w:name="_GoBack"/>
      <w:bookmarkEnd w:id="0"/>
    </w:p>
    <w:p w14:paraId="182B7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（一）加强主动公开。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在进一步坚持和完善政务公开栏这一公开形式的基础上，按照便利、实用、有效的原则，认真创新政务公开的新载体、新形式，使政务公开的形式呈现灵活多样。2024年通过“清河县人民政府网站”、政府信息公开平台、微信等渠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主动公开政府信息共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2818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余条，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通过县长信箱、市问政平台、中国政府网留言等平台办结群众反馈问题133件。</w:t>
      </w:r>
    </w:p>
    <w:p w14:paraId="667CD5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）严格信息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发布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管理。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严格落实市政府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《关于进一步规范市政府文件信息公开审查工作的通知》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严格互联网网站等信息发布管理工作的通知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本地区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门户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网站和网站动态栏目或其他栏目信息内容进行全面自查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等文件要求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指定“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拟发公文信息公开（保密）审查表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”，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将公文属性源头认定和发布审查嵌入发文流程，有效解决政府文件公开不到位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泄露公民个人、单位信息等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问题。</w:t>
      </w:r>
    </w:p>
    <w:p w14:paraId="3597E9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）推进政府信息公开平台建设。按照上级要求，积极推进县政府信息公开平台建设。主动通过政务新媒体、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政务服务大厅等渠道加强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政府公报传播，方便群众查阅。持续强化政务新媒体运维管理，“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清河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政务”微信传播力、引导力、影响力、公信力不断升级。</w:t>
      </w:r>
    </w:p>
    <w:p w14:paraId="7F6DCD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进一步规范政务新媒体工作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。对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县政府各部门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政务新媒体账号进行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核查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“僵尸”账号、关注人数较少、发表内容质量不高的账号进行了清理。核定后的剩余10个政务新媒体账号，均在国家、省政务新媒体平台进行了备案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。</w:t>
      </w:r>
    </w:p>
    <w:p w14:paraId="7399FF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宋体" w:eastAsia="黑体" w:cs="黑体"/>
          <w:i w:val="0"/>
          <w:iCs w:val="0"/>
          <w:color w:val="auto"/>
          <w:sz w:val="31"/>
          <w:szCs w:val="31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olor w:val="auto"/>
          <w:sz w:val="31"/>
          <w:szCs w:val="31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olor w:val="auto"/>
          <w:sz w:val="31"/>
          <w:szCs w:val="31"/>
          <w:u w:val="none"/>
          <w:shd w:val="clear" w:fill="FFFFFF"/>
        </w:rPr>
        <w:t>二、主动公开政府信息情况</w:t>
      </w:r>
    </w:p>
    <w:tbl>
      <w:tblPr>
        <w:tblStyle w:val="7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7B6B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E3C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846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4A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596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554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B9B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F4D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272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B8E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1B4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52A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0</w:t>
            </w:r>
          </w:p>
        </w:tc>
      </w:tr>
      <w:tr w14:paraId="2273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7D3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C5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B3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15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eastAsia="等线"/>
                <w:lang w:val="en-US" w:eastAsia="zh-CN"/>
              </w:rPr>
              <w:t>26</w:t>
            </w:r>
          </w:p>
        </w:tc>
      </w:tr>
      <w:tr w14:paraId="2741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C0ED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674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3C2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0F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396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4B9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315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7946</w:t>
            </w:r>
          </w:p>
        </w:tc>
      </w:tr>
      <w:tr w14:paraId="1D5A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EC024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886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BEE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16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F72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737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70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1560</w:t>
            </w:r>
          </w:p>
        </w:tc>
      </w:tr>
      <w:tr w14:paraId="6FA1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D55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D3E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113</w:t>
            </w:r>
          </w:p>
        </w:tc>
      </w:tr>
      <w:tr w14:paraId="2875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3F99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2E3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4F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7A8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26B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3E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2A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1325</w:t>
            </w:r>
          </w:p>
        </w:tc>
      </w:tr>
    </w:tbl>
    <w:p w14:paraId="22AA5D3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3"/>
        <w:gridCol w:w="710"/>
        <w:gridCol w:w="699"/>
      </w:tblGrid>
      <w:tr w14:paraId="7ABA6D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D6C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4B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AB2F7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BB6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E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43E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C4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C2D0D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B96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84A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F2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FA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A2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46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DF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F1B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E97A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F3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88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7F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EC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5A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CF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AA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0C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12 </w:t>
            </w:r>
          </w:p>
        </w:tc>
      </w:tr>
      <w:tr w14:paraId="1600F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0E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37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64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35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B0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FE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67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D8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383FED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3D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076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71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6B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1E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64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AD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8F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8C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 w14:paraId="34902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4E5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7C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49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B7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86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45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C4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D4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B6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0913BA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6EF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B0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E9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F8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E9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72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49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C0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17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8E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12C24C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013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AB5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AC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06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0B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76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8A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1A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05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8A5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374F4A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55F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B3F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63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E0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13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51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F4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E6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CD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3F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198FF7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165E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1CA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75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AB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0B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33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100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D0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68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A0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C0A4D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D97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CB0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B4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34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85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AA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3F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3F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16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3E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497E4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4E5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B3B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9F0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43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34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86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36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B5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4C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56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2AEFD6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7D5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DC5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E3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F9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90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4E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4A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CA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77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3D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81E58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945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B1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9C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8E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B2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C8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32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76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64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57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3D0C53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3A8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03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EE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31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1E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3A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D8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BDF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1F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2F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09FB4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041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790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E2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BC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C1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64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35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3E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14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0E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1B5CAD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B1D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F98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C6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16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59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4F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2D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F0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91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F1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58534E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A00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05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5A945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20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61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ED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7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0C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25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88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8E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5DF4EB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A4B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89D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81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B6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0E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409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4E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5A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F1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A1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BAE1A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20B3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853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C8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77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45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14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42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47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E3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E4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30A6C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616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A84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E6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26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3A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86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36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C5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A9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D4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0893F8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646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FC5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DB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96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D2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FE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D3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35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52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D7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7D4EDF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D29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32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60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CF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30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F3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50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9A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1E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32E71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627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CA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AE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1E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62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20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75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404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3C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 w14:paraId="3FFCA8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76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B0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F2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83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75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33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7F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499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</w:tbl>
    <w:p w14:paraId="217A2F2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479A065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四、政府信息公开行政复议、行政诉讼情况</w:t>
      </w:r>
    </w:p>
    <w:p w14:paraId="09573F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88C3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D1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EC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35479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04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46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F3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B7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22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87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9A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6D344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6F5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5192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47D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58A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E32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4A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62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7C7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85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94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0C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26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79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52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1E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F045A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71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3B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0C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38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D4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3E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5B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4B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51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EA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ED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BE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46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98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8281D">
            <w:pPr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 w14:paraId="6DC0A0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</w:pPr>
    </w:p>
    <w:p w14:paraId="55C378D3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  <w:t>存在的主要问题及改进情况</w:t>
      </w:r>
    </w:p>
    <w:p w14:paraId="6DF3255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2024年，我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政务公开水平虽取得明显进步，但依然存在一些问题，主要表现在：一是部分栏目信息公开及时性有待提高；二是文件解读方式单一。</w:t>
      </w:r>
    </w:p>
    <w:p w14:paraId="200008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下一步，我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将继续查缺补漏，强化短板。完善信息公开目录，不断丰富信息内容，确保信息的时效性和准确性；加强信息分类管理，提高检索效率，方便公众快速找到所需信息；建立定期更新机制，确保信息公开目录与实际工作进展同步，及时反映最新的政策动态、服务指南和统计数据；同时丰富文件解读形式，通过引入多媒体元素如音频、视频和动画，增强信息的传达效果。</w:t>
      </w:r>
    </w:p>
    <w:p w14:paraId="5E76614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六、其他需要报告的事项</w:t>
      </w:r>
    </w:p>
    <w:p w14:paraId="27B8579F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 w14:paraId="4C9CED3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</w:p>
    <w:p w14:paraId="54BE2BE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</w:p>
    <w:p w14:paraId="780FB8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</w:p>
    <w:p w14:paraId="0CEB73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2025年1月15日</w:t>
      </w:r>
    </w:p>
    <w:p w14:paraId="369AC6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14CFB"/>
    <w:multiLevelType w:val="singleLevel"/>
    <w:tmpl w:val="0B214C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MjRjZGZlYmRmNDc5ZTg3ZWUyZjc3Y2ZlMzRmMWEifQ=="/>
  </w:docVars>
  <w:rsids>
    <w:rsidRoot w:val="00000000"/>
    <w:rsid w:val="0A3E3CBD"/>
    <w:rsid w:val="0C644C4F"/>
    <w:rsid w:val="14980D1E"/>
    <w:rsid w:val="170D7687"/>
    <w:rsid w:val="17C85E3E"/>
    <w:rsid w:val="181555D9"/>
    <w:rsid w:val="1F0567F7"/>
    <w:rsid w:val="206268D2"/>
    <w:rsid w:val="24456B5F"/>
    <w:rsid w:val="2A7E2BD7"/>
    <w:rsid w:val="379C340D"/>
    <w:rsid w:val="3A1428F5"/>
    <w:rsid w:val="3FA673D1"/>
    <w:rsid w:val="3FB57873"/>
    <w:rsid w:val="44C4126F"/>
    <w:rsid w:val="44F376BC"/>
    <w:rsid w:val="48D54A81"/>
    <w:rsid w:val="4C0D73C2"/>
    <w:rsid w:val="500D155A"/>
    <w:rsid w:val="515667CB"/>
    <w:rsid w:val="599B696D"/>
    <w:rsid w:val="5B892524"/>
    <w:rsid w:val="5C9808EB"/>
    <w:rsid w:val="6048194B"/>
    <w:rsid w:val="64F42879"/>
    <w:rsid w:val="664169A6"/>
    <w:rsid w:val="67424B38"/>
    <w:rsid w:val="67C256B7"/>
    <w:rsid w:val="67D356E3"/>
    <w:rsid w:val="683C65EA"/>
    <w:rsid w:val="690D31C8"/>
    <w:rsid w:val="69FF5FAA"/>
    <w:rsid w:val="6C8A2642"/>
    <w:rsid w:val="769D266B"/>
    <w:rsid w:val="79896047"/>
    <w:rsid w:val="7DFF4D23"/>
    <w:rsid w:val="7E5B1C65"/>
    <w:rsid w:val="7EB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paragraph" w:styleId="6">
    <w:name w:val="Body Text First Indent 2"/>
    <w:basedOn w:val="4"/>
    <w:unhideWhenUsed/>
    <w:qFormat/>
    <w:uiPriority w:val="99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3">
    <w:name w:val="hover9"/>
    <w:basedOn w:val="8"/>
    <w:qFormat/>
    <w:uiPriority w:val="0"/>
    <w:rPr>
      <w:color w:val="C50000"/>
    </w:rPr>
  </w:style>
  <w:style w:type="character" w:customStyle="1" w:styleId="14">
    <w:name w:val="curr2"/>
    <w:basedOn w:val="8"/>
    <w:qFormat/>
    <w:uiPriority w:val="0"/>
    <w:rPr>
      <w:color w:val="FFFFFF"/>
      <w:shd w:val="clear" w:fill="C50000"/>
    </w:rPr>
  </w:style>
  <w:style w:type="character" w:customStyle="1" w:styleId="15">
    <w:name w:val="hover12"/>
    <w:basedOn w:val="8"/>
    <w:qFormat/>
    <w:uiPriority w:val="0"/>
    <w:rPr>
      <w:color w:val="C50000"/>
    </w:rPr>
  </w:style>
  <w:style w:type="character" w:customStyle="1" w:styleId="16">
    <w:name w:val="curr"/>
    <w:basedOn w:val="8"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1776</Words>
  <Characters>1830</Characters>
  <Lines>0</Lines>
  <Paragraphs>0</Paragraphs>
  <TotalTime>1</TotalTime>
  <ScaleCrop>false</ScaleCrop>
  <LinksUpToDate>false</LinksUpToDate>
  <CharactersWithSpaces>1988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2022-02-08T00:57:00Z</dcterms:created>
  <dc:creator>Administrator</dc:creator>
  <cp:lastModifiedBy>螺丝钉</cp:lastModifiedBy>
  <cp:lastPrinted>2024-02-19T03:21:00Z</cp:lastPrinted>
  <dcterms:modified xsi:type="dcterms:W3CDTF">2025-01-15T01:02:25Z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C0FAFA7C4CBF4F4898BE1BED3A6D520E_13</vt:lpwstr>
  </property>
  <property fmtid="{D5CDD505-2E9C-101B-9397-08002B2CF9AE}" pid="4" name="KSOTemplateDocerSaveRecord">
    <vt:lpwstr>eyJoZGlkIjoiNzIxMjRjZGZlYmRmNDc5ZTg3ZWUyZjc3Y2ZlMzRmMWEiLCJ1c2VySWQiOiI1NTQ3NTA5MTYifQ==</vt:lpwstr>
  </property>
</Properties>
</file>