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sz w:val="52"/>
          <w:szCs w:val="52"/>
        </w:rPr>
      </w:pPr>
      <w:r>
        <w:rPr>
          <w:rFonts w:hint="eastAsia" w:ascii="宋体" w:hAnsi="宋体" w:cs="宋体"/>
          <w:b/>
          <w:bCs/>
          <w:sz w:val="52"/>
          <w:szCs w:val="52"/>
        </w:rPr>
        <w:t>清河县国民经济和社会发展</w:t>
      </w:r>
    </w:p>
    <w:p>
      <w:pPr>
        <w:spacing w:line="360" w:lineRule="auto"/>
        <w:jc w:val="center"/>
        <w:rPr>
          <w:rFonts w:hint="eastAsia" w:ascii="宋体" w:hAnsi="宋体" w:cs="宋体"/>
          <w:b/>
          <w:bCs/>
          <w:sz w:val="52"/>
          <w:szCs w:val="52"/>
        </w:rPr>
      </w:pPr>
      <w:r>
        <w:rPr>
          <w:rFonts w:hint="eastAsia" w:ascii="宋体" w:hAnsi="宋体" w:cs="宋体"/>
          <w:b/>
          <w:bCs/>
          <w:sz w:val="52"/>
          <w:szCs w:val="52"/>
        </w:rPr>
        <w:t>第十四个五年规划和二〇三五年</w:t>
      </w:r>
    </w:p>
    <w:p>
      <w:pPr>
        <w:spacing w:line="360" w:lineRule="auto"/>
        <w:jc w:val="center"/>
        <w:rPr>
          <w:rFonts w:hint="eastAsia" w:ascii="宋体" w:hAnsi="宋体" w:cs="宋体"/>
          <w:b/>
          <w:bCs/>
          <w:sz w:val="52"/>
          <w:szCs w:val="52"/>
        </w:rPr>
      </w:pPr>
      <w:r>
        <w:rPr>
          <w:rFonts w:hint="eastAsia" w:ascii="宋体" w:hAnsi="宋体" w:cs="宋体"/>
          <w:b/>
          <w:bCs/>
          <w:sz w:val="52"/>
          <w:szCs w:val="52"/>
        </w:rPr>
        <w:t>远景目标纲要</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楷体" w:hAnsi="楷体" w:eastAsia="楷体" w:cs="楷体"/>
          <w:sz w:val="44"/>
          <w:szCs w:val="44"/>
        </w:rPr>
      </w:pPr>
    </w:p>
    <w:p>
      <w:pPr>
        <w:jc w:val="center"/>
        <w:rPr>
          <w:rFonts w:hint="eastAsia" w:ascii="楷体" w:hAnsi="楷体" w:eastAsia="楷体" w:cs="楷体"/>
          <w:sz w:val="44"/>
          <w:szCs w:val="44"/>
        </w:rPr>
      </w:pPr>
    </w:p>
    <w:p>
      <w:pPr>
        <w:jc w:val="center"/>
        <w:rPr>
          <w:rFonts w:hint="eastAsia" w:ascii="楷体" w:hAnsi="楷体" w:eastAsia="楷体" w:cs="楷体"/>
          <w:sz w:val="44"/>
          <w:szCs w:val="44"/>
        </w:rPr>
      </w:pPr>
    </w:p>
    <w:p>
      <w:pPr>
        <w:jc w:val="center"/>
        <w:rPr>
          <w:rFonts w:hint="eastAsia" w:ascii="楷体" w:hAnsi="楷体" w:eastAsia="楷体" w:cs="楷体"/>
          <w:sz w:val="36"/>
          <w:szCs w:val="36"/>
        </w:rPr>
      </w:pPr>
      <w:r>
        <w:rPr>
          <w:rFonts w:hint="eastAsia" w:ascii="楷体" w:hAnsi="楷体" w:eastAsia="楷体" w:cs="楷体"/>
          <w:sz w:val="36"/>
          <w:szCs w:val="36"/>
        </w:rPr>
        <w:t>二〇二一年二月</w:t>
      </w:r>
    </w:p>
    <w:p>
      <w:pPr>
        <w:jc w:val="center"/>
        <w:rPr>
          <w:rFonts w:hint="eastAsia" w:ascii="楷体" w:hAnsi="楷体" w:eastAsia="楷体" w:cs="楷体"/>
          <w:sz w:val="36"/>
          <w:szCs w:val="36"/>
        </w:rPr>
      </w:pPr>
    </w:p>
    <w:p>
      <w:pPr>
        <w:spacing w:line="360" w:lineRule="auto"/>
        <w:rPr>
          <w:rFonts w:hint="eastAsia" w:ascii="黑体" w:hAnsi="宋体" w:eastAsia="黑体"/>
          <w:sz w:val="28"/>
          <w:szCs w:val="28"/>
        </w:rPr>
      </w:pPr>
    </w:p>
    <w:p>
      <w:pPr>
        <w:jc w:val="center"/>
        <w:rPr>
          <w:rFonts w:hint="eastAsia" w:ascii="黑体" w:hAnsi="黑体" w:eastAsia="黑体" w:cs="黑体"/>
          <w:sz w:val="52"/>
          <w:szCs w:val="52"/>
        </w:rPr>
      </w:pPr>
    </w:p>
    <w:p>
      <w:pPr>
        <w:spacing w:line="360" w:lineRule="auto"/>
        <w:rPr>
          <w:rFonts w:hint="eastAsia" w:ascii="黑体" w:hAnsi="宋体" w:eastAsia="黑体"/>
          <w:sz w:val="28"/>
          <w:szCs w:val="28"/>
        </w:rPr>
        <w:sectPr>
          <w:footerReference r:id="rId3" w:type="first"/>
          <w:pgSz w:w="11906" w:h="16838"/>
          <w:pgMar w:top="1984" w:right="1531" w:bottom="1701" w:left="1531" w:header="851" w:footer="1247" w:gutter="0"/>
          <w:pgNumType w:fmt="numberInDash" w:start="1"/>
          <w:cols w:space="0" w:num="1"/>
          <w:titlePg/>
          <w:docGrid w:type="lines" w:linePitch="312" w:charSpace="0"/>
        </w:sectPr>
      </w:pPr>
    </w:p>
    <w:p>
      <w:pPr>
        <w:jc w:val="center"/>
        <w:rPr>
          <w:rFonts w:hint="eastAsia" w:ascii="宋体" w:hAnsi="宋体"/>
          <w:bCs/>
          <w:szCs w:val="21"/>
        </w:rPr>
      </w:pPr>
    </w:p>
    <w:p>
      <w:pPr>
        <w:spacing w:line="360" w:lineRule="auto"/>
        <w:ind w:left="2129" w:leftChars="228" w:hanging="1650" w:hangingChars="550"/>
        <w:rPr>
          <w:rFonts w:hint="eastAsia" w:ascii="黑体" w:hAnsi="宋体" w:eastAsia="黑体"/>
          <w:sz w:val="30"/>
          <w:szCs w:val="30"/>
        </w:rPr>
      </w:pPr>
      <w:r>
        <w:rPr>
          <w:rFonts w:hint="eastAsia" w:ascii="黑体" w:hAnsi="宋体" w:eastAsia="黑体"/>
          <w:sz w:val="30"/>
          <w:szCs w:val="30"/>
        </w:rPr>
        <w:t>项目名称：清河县国民经济和社会发展第十四个五年规划和</w:t>
      </w:r>
    </w:p>
    <w:p>
      <w:pPr>
        <w:spacing w:line="360" w:lineRule="auto"/>
        <w:ind w:left="2120" w:leftChars="938" w:hanging="150" w:hangingChars="50"/>
        <w:rPr>
          <w:rFonts w:hint="eastAsia" w:ascii="黑体" w:hAnsi="宋体" w:eastAsia="黑体"/>
          <w:sz w:val="30"/>
          <w:szCs w:val="30"/>
        </w:rPr>
      </w:pPr>
      <w:r>
        <w:rPr>
          <w:rFonts w:hint="eastAsia" w:ascii="黑体" w:hAnsi="宋体" w:eastAsia="黑体"/>
          <w:sz w:val="30"/>
          <w:szCs w:val="30"/>
        </w:rPr>
        <w:t>二〇三五年远景目标纲要</w:t>
      </w:r>
    </w:p>
    <w:p>
      <w:pPr>
        <w:spacing w:line="360" w:lineRule="auto"/>
        <w:ind w:firstLine="360" w:firstLineChars="150"/>
        <w:rPr>
          <w:rFonts w:hint="eastAsia" w:ascii="黑体" w:hAnsi="宋体" w:eastAsia="黑体"/>
          <w:sz w:val="24"/>
        </w:rPr>
      </w:pPr>
    </w:p>
    <w:p>
      <w:pPr>
        <w:spacing w:line="360" w:lineRule="auto"/>
        <w:ind w:firstLine="360" w:firstLineChars="150"/>
        <w:rPr>
          <w:rFonts w:hint="eastAsia" w:ascii="黑体" w:hAnsi="宋体" w:eastAsia="黑体"/>
          <w:sz w:val="24"/>
        </w:rPr>
      </w:pPr>
      <w:r>
        <w:rPr>
          <w:rFonts w:hint="eastAsia" w:ascii="黑体" w:hAnsi="宋体" w:eastAsia="黑体"/>
          <w:sz w:val="24"/>
        </w:rPr>
        <w:t>委托方（甲方）：清河县发展和改革局</w:t>
      </w:r>
    </w:p>
    <w:p>
      <w:pPr>
        <w:spacing w:line="360" w:lineRule="auto"/>
        <w:ind w:firstLine="360" w:firstLineChars="150"/>
        <w:rPr>
          <w:rFonts w:ascii="黑体" w:hAnsi="宋体" w:eastAsia="黑体"/>
          <w:sz w:val="24"/>
        </w:rPr>
      </w:pPr>
      <w:r>
        <w:rPr>
          <w:rFonts w:hint="eastAsia" w:ascii="黑体" w:hAnsi="宋体" w:eastAsia="黑体"/>
          <w:sz w:val="24"/>
        </w:rPr>
        <w:t>参与编制部门：清河县“十四五”规划编制领导小组</w:t>
      </w:r>
    </w:p>
    <w:p>
      <w:pPr>
        <w:spacing w:line="360" w:lineRule="auto"/>
        <w:ind w:firstLine="360" w:firstLineChars="150"/>
        <w:rPr>
          <w:rFonts w:hint="eastAsia" w:ascii="黑体" w:hAnsi="宋体" w:eastAsia="黑体"/>
          <w:sz w:val="24"/>
        </w:rPr>
      </w:pPr>
    </w:p>
    <w:p>
      <w:pPr>
        <w:spacing w:line="360" w:lineRule="auto"/>
        <w:ind w:firstLine="360" w:firstLineChars="150"/>
        <w:rPr>
          <w:rFonts w:hint="eastAsia" w:ascii="黑体" w:hAnsi="宋体" w:eastAsia="黑体"/>
          <w:sz w:val="24"/>
        </w:rPr>
      </w:pPr>
      <w:r>
        <w:rPr>
          <w:rFonts w:hint="eastAsia" w:ascii="黑体" w:hAnsi="宋体" w:eastAsia="黑体"/>
          <w:sz w:val="24"/>
        </w:rPr>
        <w:t>承担方（乙方）：邢台市规划设计研究院</w:t>
      </w:r>
    </w:p>
    <w:p>
      <w:pPr>
        <w:spacing w:line="360" w:lineRule="auto"/>
        <w:ind w:firstLine="360" w:firstLineChars="150"/>
        <w:rPr>
          <w:rFonts w:hint="eastAsia" w:ascii="黑体" w:hAnsi="宋体" w:eastAsia="黑体"/>
          <w:sz w:val="24"/>
        </w:rPr>
      </w:pPr>
      <w:r>
        <w:rPr>
          <w:rFonts w:hint="eastAsia" w:ascii="黑体" w:hAnsi="宋体" w:eastAsia="黑体"/>
          <w:sz w:val="24"/>
        </w:rPr>
        <w:t>邢台市规划设计研究院规划编制资质证书等级：甲级</w:t>
      </w:r>
    </w:p>
    <w:p>
      <w:pPr>
        <w:spacing w:line="360" w:lineRule="auto"/>
        <w:ind w:firstLine="360" w:firstLineChars="150"/>
        <w:rPr>
          <w:rFonts w:hint="eastAsia" w:ascii="黑体" w:hAnsi="宋体" w:eastAsia="黑体"/>
          <w:sz w:val="24"/>
        </w:rPr>
      </w:pPr>
      <w:r>
        <w:rPr>
          <w:rFonts w:hint="eastAsia" w:ascii="黑体" w:hAnsi="宋体" w:eastAsia="黑体"/>
          <w:sz w:val="24"/>
        </w:rPr>
        <w:t>邢台市规划设计研究院规划编制资质证书编号：[建] 城规编（141046）</w:t>
      </w:r>
    </w:p>
    <w:p>
      <w:pPr>
        <w:spacing w:line="360" w:lineRule="auto"/>
        <w:rPr>
          <w:rFonts w:hint="eastAsia" w:ascii="黑体" w:hAnsi="宋体" w:eastAsia="黑体"/>
          <w:sz w:val="24"/>
        </w:rPr>
      </w:pPr>
      <w:r>
        <w:rPr>
          <w:rFonts w:hint="eastAsia" w:ascii="黑体" w:hAnsi="宋体" w:eastAsia="黑体"/>
          <w:sz w:val="24"/>
        </w:rPr>
        <w:t xml:space="preserve"> </w:t>
      </w:r>
    </w:p>
    <w:p>
      <w:pPr>
        <w:spacing w:line="360" w:lineRule="auto"/>
        <w:ind w:firstLine="420" w:firstLineChars="150"/>
        <w:rPr>
          <w:rFonts w:hint="eastAsia" w:ascii="黑体" w:hAnsi="宋体" w:eastAsia="黑体"/>
          <w:spacing w:val="20"/>
          <w:sz w:val="24"/>
        </w:rPr>
      </w:pPr>
      <w:r>
        <w:rPr>
          <w:rFonts w:hint="eastAsia" w:ascii="黑体" w:hAnsi="宋体" w:eastAsia="黑体"/>
          <w:spacing w:val="20"/>
          <w:sz w:val="24"/>
        </w:rPr>
        <w:t>法人代表：王风军  院  长     正高级规划师</w:t>
      </w:r>
    </w:p>
    <w:p>
      <w:pPr>
        <w:spacing w:line="360" w:lineRule="auto"/>
        <w:ind w:firstLine="420" w:firstLineChars="150"/>
        <w:rPr>
          <w:rFonts w:hint="eastAsia" w:ascii="黑体" w:hAnsi="宋体" w:eastAsia="黑体"/>
          <w:spacing w:val="20"/>
          <w:sz w:val="24"/>
        </w:rPr>
      </w:pPr>
      <w:r>
        <w:rPr>
          <w:rFonts w:hint="eastAsia" w:ascii="黑体" w:hAnsi="宋体" w:eastAsia="黑体"/>
          <w:spacing w:val="20"/>
          <w:sz w:val="24"/>
        </w:rPr>
        <w:t>主管院长：乔双全  高级工程师  注册城乡规划师</w:t>
      </w:r>
    </w:p>
    <w:p>
      <w:pPr>
        <w:spacing w:line="360" w:lineRule="auto"/>
        <w:ind w:firstLine="420" w:firstLineChars="150"/>
        <w:rPr>
          <w:rFonts w:hint="eastAsia" w:ascii="黑体" w:hAnsi="宋体" w:eastAsia="黑体"/>
          <w:spacing w:val="20"/>
          <w:sz w:val="24"/>
        </w:rPr>
      </w:pPr>
      <w:r>
        <w:rPr>
          <w:rFonts w:hint="eastAsia" w:ascii="黑体" w:hAnsi="宋体" w:eastAsia="黑体"/>
          <w:spacing w:val="20"/>
          <w:sz w:val="24"/>
        </w:rPr>
        <w:t>总工程师：王诒建  高级工程师  注册城乡规划师</w:t>
      </w:r>
    </w:p>
    <w:p>
      <w:pPr>
        <w:spacing w:line="360" w:lineRule="auto"/>
        <w:ind w:firstLine="360" w:firstLineChars="150"/>
        <w:rPr>
          <w:rFonts w:hint="eastAsia" w:ascii="黑体" w:hAnsi="宋体" w:eastAsia="黑体"/>
          <w:sz w:val="24"/>
        </w:rPr>
        <w:sectPr>
          <w:pgSz w:w="11906" w:h="16838"/>
          <w:pgMar w:top="1984" w:right="1531" w:bottom="1701" w:left="1531" w:header="851" w:footer="1247" w:gutter="0"/>
          <w:pgNumType w:fmt="numberInDash" w:start="1"/>
          <w:cols w:space="0" w:num="1"/>
          <w:titlePg/>
          <w:docGrid w:type="lines" w:linePitch="312" w:charSpace="0"/>
        </w:sectPr>
      </w:pPr>
      <w:r>
        <w:rPr>
          <w:rFonts w:ascii="黑体" w:hAnsi="宋体" w:eastAsia="黑体"/>
          <w:sz w:val="24"/>
        </w:rPr>
        <w:drawing>
          <wp:anchor distT="0" distB="0" distL="114300" distR="114300" simplePos="0" relativeHeight="251659264" behindDoc="0" locked="0" layoutInCell="1" allowOverlap="1">
            <wp:simplePos x="0" y="0"/>
            <wp:positionH relativeFrom="column">
              <wp:posOffset>-281305</wp:posOffset>
            </wp:positionH>
            <wp:positionV relativeFrom="paragraph">
              <wp:posOffset>340995</wp:posOffset>
            </wp:positionV>
            <wp:extent cx="5993130" cy="4243705"/>
            <wp:effectExtent l="0" t="0" r="7620" b="4445"/>
            <wp:wrapSquare wrapText="bothSides"/>
            <wp:docPr id="1" name="图片 2" descr="资质证书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资质证书2014"/>
                    <pic:cNvPicPr>
                      <a:picLocks noChangeAspect="1"/>
                    </pic:cNvPicPr>
                  </pic:nvPicPr>
                  <pic:blipFill>
                    <a:blip r:embed="rId11"/>
                    <a:stretch>
                      <a:fillRect/>
                    </a:stretch>
                  </pic:blipFill>
                  <pic:spPr>
                    <a:xfrm>
                      <a:off x="0" y="0"/>
                      <a:ext cx="5993130" cy="4243705"/>
                    </a:xfrm>
                    <a:prstGeom prst="rect">
                      <a:avLst/>
                    </a:prstGeom>
                    <a:noFill/>
                    <a:ln>
                      <a:noFill/>
                    </a:ln>
                  </pic:spPr>
                </pic:pic>
              </a:graphicData>
            </a:graphic>
          </wp:anchor>
        </w:drawing>
      </w:r>
      <w:r>
        <w:rPr>
          <w:rFonts w:hint="eastAsia" w:ascii="黑体" w:hAnsi="宋体" w:eastAsia="黑体"/>
          <w:sz w:val="24"/>
        </w:rPr>
        <w:t>城乡规划编制资质证书：</w:t>
      </w:r>
    </w:p>
    <w:p>
      <w:pPr>
        <w:spacing w:line="360" w:lineRule="auto"/>
        <w:ind w:firstLine="360" w:firstLineChars="150"/>
        <w:rPr>
          <w:rFonts w:hint="eastAsia" w:ascii="黑体" w:hAnsi="宋体" w:eastAsia="黑体"/>
          <w:sz w:val="24"/>
        </w:rPr>
        <w:sectPr>
          <w:pgSz w:w="11906" w:h="16838"/>
          <w:pgMar w:top="1984" w:right="1531" w:bottom="1701" w:left="1531" w:header="851" w:footer="1247" w:gutter="0"/>
          <w:pgNumType w:fmt="numberInDash" w:start="1"/>
          <w:cols w:space="0" w:num="1"/>
          <w:titlePg/>
          <w:docGrid w:type="lines" w:linePitch="312" w:charSpace="0"/>
        </w:sectPr>
      </w:pPr>
    </w:p>
    <w:p>
      <w:pPr>
        <w:spacing w:line="360" w:lineRule="auto"/>
        <w:ind w:firstLine="360" w:firstLineChars="150"/>
        <w:rPr>
          <w:rFonts w:hint="eastAsia" w:ascii="黑体" w:hAnsi="宋体" w:eastAsia="黑体"/>
          <w:sz w:val="24"/>
        </w:rPr>
      </w:pPr>
    </w:p>
    <w:p>
      <w:pPr>
        <w:jc w:val="center"/>
        <w:rPr>
          <w:rFonts w:hint="eastAsia" w:ascii="宋体" w:hAnsi="宋体"/>
          <w:bCs/>
          <w:szCs w:val="21"/>
        </w:rPr>
      </w:pPr>
    </w:p>
    <w:p>
      <w:pPr>
        <w:spacing w:line="360" w:lineRule="auto"/>
        <w:ind w:firstLine="360" w:firstLineChars="150"/>
        <w:rPr>
          <w:rFonts w:hint="eastAsia" w:ascii="黑体" w:hAnsi="宋体" w:eastAsia="黑体"/>
          <w:sz w:val="24"/>
        </w:rPr>
      </w:pPr>
      <w:r>
        <w:rPr>
          <w:rFonts w:hint="eastAsia" w:ascii="黑体" w:hAnsi="宋体" w:eastAsia="黑体"/>
          <w:sz w:val="24"/>
        </w:rPr>
        <w:t>所主管领导： 李永刚    工程师</w:t>
      </w:r>
    </w:p>
    <w:p>
      <w:pPr>
        <w:spacing w:line="600" w:lineRule="exact"/>
        <w:ind w:firstLine="360" w:firstLineChars="150"/>
        <w:rPr>
          <w:rFonts w:ascii="黑体" w:hAnsi="宋体" w:eastAsia="黑体"/>
          <w:sz w:val="24"/>
        </w:rPr>
      </w:pPr>
      <w:r>
        <w:rPr>
          <w:rFonts w:hint="eastAsia" w:ascii="黑体" w:hAnsi="宋体" w:eastAsia="黑体"/>
          <w:sz w:val="24"/>
        </w:rPr>
        <w:t>项目负责人： 李永刚    工程师</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黑体" w:hAnsi="宋体" w:eastAsia="黑体"/>
          <w:sz w:val="24"/>
        </w:rPr>
      </w:pPr>
      <w:r>
        <w:rPr>
          <w:rFonts w:hint="eastAsia" w:ascii="黑体" w:hAnsi="宋体" w:eastAsia="黑体"/>
          <w:sz w:val="24"/>
        </w:rPr>
        <w:t>项目组成员： 王军英    高级工程师  经济学博士</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黑体" w:hAnsi="宋体" w:eastAsia="黑体"/>
          <w:sz w:val="24"/>
        </w:rPr>
      </w:pPr>
      <w:r>
        <w:rPr>
          <w:rFonts w:hint="eastAsia" w:ascii="黑体" w:hAnsi="宋体" w:eastAsia="黑体"/>
          <w:sz w:val="24"/>
        </w:rPr>
        <w:t xml:space="preserve">             刘  彦    高级工程师  </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黑体" w:hAnsi="宋体" w:eastAsia="黑体"/>
          <w:sz w:val="24"/>
          <w:lang w:val="en-US" w:eastAsia="zh-CN"/>
        </w:rPr>
      </w:pPr>
      <w:r>
        <w:rPr>
          <w:rFonts w:hint="eastAsia" w:ascii="黑体" w:hAnsi="宋体" w:eastAsia="黑体"/>
          <w:sz w:val="24"/>
        </w:rPr>
        <w:t xml:space="preserve">             金自强    工程师</w:t>
      </w:r>
      <w:r>
        <w:rPr>
          <w:rFonts w:hint="eastAsia" w:ascii="黑体" w:hAnsi="宋体" w:eastAsia="黑体"/>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920" w:firstLineChars="800"/>
        <w:textAlignment w:val="auto"/>
        <w:rPr>
          <w:rFonts w:hint="default" w:ascii="黑体" w:hAnsi="宋体" w:eastAsia="黑体"/>
          <w:sz w:val="24"/>
          <w:lang w:val="en-US" w:eastAsia="zh-CN"/>
        </w:rPr>
      </w:pPr>
      <w:r>
        <w:rPr>
          <w:rFonts w:hint="eastAsia" w:ascii="黑体" w:hAnsi="宋体" w:eastAsia="黑体"/>
          <w:sz w:val="24"/>
          <w:lang w:val="en-US" w:eastAsia="zh-CN"/>
        </w:rPr>
        <w:t>陈会强    工程师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黑体" w:hAnsi="宋体" w:eastAsia="黑体"/>
          <w:sz w:val="24"/>
          <w:lang w:val="en-US" w:eastAsia="zh-CN"/>
        </w:rPr>
        <w:t xml:space="preserve">                李绍科    工程师</w:t>
      </w:r>
    </w:p>
    <w:p>
      <w:pPr>
        <w:keepNext w:val="0"/>
        <w:keepLines w:val="0"/>
        <w:pageBreakBefore w:val="0"/>
        <w:widowControl w:val="0"/>
        <w:kinsoku/>
        <w:wordWrap/>
        <w:overflowPunct/>
        <w:topLinePunct w:val="0"/>
        <w:autoSpaceDE/>
        <w:autoSpaceDN/>
        <w:bidi w:val="0"/>
        <w:adjustRightInd/>
        <w:snapToGrid/>
        <w:spacing w:line="360" w:lineRule="auto"/>
        <w:ind w:firstLine="1920" w:firstLineChars="800"/>
        <w:textAlignment w:val="auto"/>
        <w:rPr>
          <w:rFonts w:hint="eastAsia" w:ascii="黑体" w:hAnsi="宋体" w:eastAsia="黑体"/>
          <w:sz w:val="24"/>
        </w:rPr>
      </w:pPr>
      <w:r>
        <w:rPr>
          <w:rFonts w:hint="eastAsia" w:ascii="黑体" w:hAnsi="宋体" w:eastAsia="黑体"/>
          <w:sz w:val="24"/>
        </w:rPr>
        <w:t xml:space="preserve">刘  乐    工程师 </w:t>
      </w:r>
    </w:p>
    <w:p>
      <w:pPr>
        <w:keepNext w:val="0"/>
        <w:keepLines w:val="0"/>
        <w:pageBreakBefore w:val="0"/>
        <w:widowControl w:val="0"/>
        <w:kinsoku/>
        <w:wordWrap/>
        <w:overflowPunct/>
        <w:topLinePunct w:val="0"/>
        <w:autoSpaceDE/>
        <w:autoSpaceDN/>
        <w:bidi w:val="0"/>
        <w:adjustRightInd/>
        <w:snapToGrid/>
        <w:spacing w:line="360" w:lineRule="auto"/>
        <w:ind w:firstLine="1920" w:firstLineChars="800"/>
        <w:textAlignment w:val="auto"/>
        <w:rPr>
          <w:rFonts w:hint="eastAsia" w:ascii="黑体" w:hAnsi="宋体" w:eastAsia="黑体"/>
          <w:sz w:val="24"/>
        </w:rPr>
      </w:pPr>
      <w:r>
        <w:rPr>
          <w:rFonts w:hint="eastAsia" w:ascii="黑体" w:hAnsi="宋体" w:eastAsia="黑体"/>
          <w:sz w:val="24"/>
        </w:rPr>
        <w:t>赵亚芸    助理工程师</w:t>
      </w:r>
    </w:p>
    <w:p>
      <w:pPr>
        <w:keepNext w:val="0"/>
        <w:keepLines w:val="0"/>
        <w:pageBreakBefore w:val="0"/>
        <w:widowControl w:val="0"/>
        <w:kinsoku/>
        <w:wordWrap/>
        <w:overflowPunct/>
        <w:topLinePunct w:val="0"/>
        <w:autoSpaceDE/>
        <w:autoSpaceDN/>
        <w:bidi w:val="0"/>
        <w:adjustRightInd/>
        <w:snapToGrid/>
        <w:spacing w:line="360" w:lineRule="auto"/>
        <w:ind w:firstLine="1920" w:firstLineChars="800"/>
        <w:textAlignment w:val="auto"/>
        <w:rPr>
          <w:rFonts w:hint="eastAsia" w:ascii="黑体" w:hAnsi="宋体" w:eastAsia="黑体"/>
          <w:sz w:val="24"/>
        </w:rPr>
      </w:pPr>
      <w:r>
        <w:rPr>
          <w:rFonts w:hint="eastAsia" w:ascii="黑体" w:hAnsi="宋体" w:eastAsia="黑体"/>
          <w:sz w:val="24"/>
        </w:rPr>
        <w:t>李  玲    助理工程师</w:t>
      </w:r>
    </w:p>
    <w:p>
      <w:pPr>
        <w:keepNext w:val="0"/>
        <w:keepLines w:val="0"/>
        <w:pageBreakBefore w:val="0"/>
        <w:widowControl w:val="0"/>
        <w:kinsoku/>
        <w:wordWrap/>
        <w:overflowPunct/>
        <w:topLinePunct w:val="0"/>
        <w:autoSpaceDE/>
        <w:autoSpaceDN/>
        <w:bidi w:val="0"/>
        <w:adjustRightInd/>
        <w:snapToGrid/>
        <w:spacing w:line="360" w:lineRule="auto"/>
        <w:ind w:firstLine="1920" w:firstLineChars="800"/>
        <w:textAlignment w:val="auto"/>
        <w:rPr>
          <w:rFonts w:hint="eastAsia" w:ascii="黑体" w:hAnsi="宋体" w:eastAsia="黑体"/>
          <w:sz w:val="24"/>
        </w:rPr>
      </w:pPr>
      <w:r>
        <w:rPr>
          <w:rFonts w:hint="eastAsia" w:ascii="黑体" w:hAnsi="宋体" w:eastAsia="黑体"/>
          <w:sz w:val="24"/>
        </w:rPr>
        <w:t xml:space="preserve">袁首行    技术员        </w:t>
      </w:r>
    </w:p>
    <w:p>
      <w:pPr>
        <w:spacing w:line="360" w:lineRule="auto"/>
        <w:rPr>
          <w:rFonts w:ascii="黑体" w:eastAsia="黑体"/>
          <w:sz w:val="28"/>
          <w:szCs w:val="28"/>
        </w:rPr>
      </w:pPr>
      <w:r>
        <w:rPr>
          <w:rFonts w:hint="eastAsia" w:ascii="黑体" w:eastAsia="黑体"/>
          <w:sz w:val="28"/>
          <w:szCs w:val="28"/>
        </w:rPr>
        <w:t xml:space="preserve">              </w:t>
      </w:r>
    </w:p>
    <w:p>
      <w:pPr>
        <w:spacing w:line="600" w:lineRule="exact"/>
        <w:rPr>
          <w:rFonts w:hint="eastAsia" w:ascii="黑体" w:eastAsia="黑体"/>
          <w:sz w:val="28"/>
          <w:szCs w:val="28"/>
        </w:rPr>
      </w:pPr>
    </w:p>
    <w:p>
      <w:pPr>
        <w:spacing w:line="600" w:lineRule="exact"/>
        <w:ind w:firstLine="360" w:firstLineChars="150"/>
        <w:rPr>
          <w:rFonts w:hint="eastAsia" w:ascii="黑体" w:hAnsi="宋体" w:eastAsia="黑体"/>
          <w:sz w:val="24"/>
        </w:rPr>
      </w:pPr>
      <w:r>
        <w:rPr>
          <w:rFonts w:hint="eastAsia" w:ascii="黑体" w:hAnsi="宋体" w:eastAsia="黑体"/>
          <w:sz w:val="24"/>
        </w:rPr>
        <w:t>城市规划编制技术专用章：</w:t>
      </w:r>
    </w:p>
    <w:p>
      <w:pPr>
        <w:spacing w:line="360" w:lineRule="auto"/>
        <w:rPr>
          <w:rFonts w:hint="eastAsia" w:ascii="黑体" w:eastAsia="黑体"/>
          <w:sz w:val="30"/>
          <w:szCs w:val="30"/>
        </w:rPr>
      </w:pPr>
    </w:p>
    <w:p>
      <w:pPr>
        <w:spacing w:line="360" w:lineRule="auto"/>
        <w:rPr>
          <w:rFonts w:hint="eastAsia" w:ascii="黑体" w:eastAsia="黑体"/>
          <w:sz w:val="30"/>
          <w:szCs w:val="30"/>
        </w:rPr>
      </w:pPr>
    </w:p>
    <w:p>
      <w:pPr>
        <w:spacing w:line="360" w:lineRule="auto"/>
        <w:rPr>
          <w:rFonts w:hint="eastAsia" w:ascii="黑体" w:eastAsia="黑体"/>
          <w:sz w:val="30"/>
          <w:szCs w:val="30"/>
        </w:rPr>
      </w:pPr>
    </w:p>
    <w:p>
      <w:pPr>
        <w:spacing w:line="360" w:lineRule="auto"/>
        <w:rPr>
          <w:rFonts w:hint="eastAsia" w:ascii="黑体" w:eastAsia="黑体"/>
          <w:sz w:val="30"/>
          <w:szCs w:val="30"/>
        </w:rPr>
      </w:pPr>
    </w:p>
    <w:p>
      <w:pPr>
        <w:spacing w:line="360" w:lineRule="auto"/>
        <w:rPr>
          <w:rFonts w:hint="eastAsia" w:ascii="黑体" w:eastAsia="黑体"/>
          <w:sz w:val="30"/>
          <w:szCs w:val="30"/>
        </w:rPr>
      </w:pPr>
    </w:p>
    <w:p>
      <w:pPr>
        <w:spacing w:line="360" w:lineRule="auto"/>
        <w:rPr>
          <w:rFonts w:hint="eastAsia" w:ascii="黑体" w:eastAsia="黑体"/>
          <w:sz w:val="30"/>
          <w:szCs w:val="30"/>
        </w:rPr>
      </w:pPr>
    </w:p>
    <w:p>
      <w:pPr>
        <w:spacing w:line="600" w:lineRule="exact"/>
        <w:ind w:firstLine="360" w:firstLineChars="150"/>
        <w:rPr>
          <w:rFonts w:hint="eastAsia" w:ascii="黑体" w:hAnsi="宋体" w:eastAsia="黑体"/>
          <w:sz w:val="24"/>
        </w:rPr>
      </w:pPr>
      <w:r>
        <w:rPr>
          <w:rFonts w:hint="eastAsia" w:ascii="黑体" w:hAnsi="宋体" w:eastAsia="黑体"/>
          <w:sz w:val="24"/>
        </w:rPr>
        <w:t>成果编制完成时间：2021年02月</w:t>
      </w:r>
    </w:p>
    <w:p>
      <w:pPr>
        <w:spacing w:line="360" w:lineRule="auto"/>
        <w:rPr>
          <w:rFonts w:hint="eastAsia" w:ascii="黑体" w:eastAsia="黑体"/>
          <w:sz w:val="28"/>
          <w:szCs w:val="28"/>
        </w:rPr>
      </w:pPr>
    </w:p>
    <w:p>
      <w:pPr>
        <w:keepNext w:val="0"/>
        <w:keepLines w:val="0"/>
        <w:pageBreakBefore w:val="0"/>
        <w:widowControl w:val="0"/>
        <w:kinsoku/>
        <w:wordWrap/>
        <w:overflowPunct/>
        <w:topLinePunct w:val="0"/>
        <w:autoSpaceDE/>
        <w:autoSpaceDN/>
        <w:bidi w:val="0"/>
        <w:jc w:val="center"/>
        <w:textAlignment w:val="auto"/>
        <w:rPr>
          <w:rFonts w:hint="eastAsia" w:ascii="宋体" w:hAnsi="宋体" w:cs="宋体"/>
          <w:b/>
          <w:bCs/>
          <w:color w:val="000000" w:themeColor="text1"/>
          <w:sz w:val="52"/>
          <w:szCs w:val="52"/>
          <w14:textFill>
            <w14:solidFill>
              <w14:schemeClr w14:val="tx1"/>
            </w14:solidFill>
          </w14:textFill>
        </w:rPr>
      </w:pPr>
    </w:p>
    <w:p>
      <w:pPr>
        <w:pStyle w:val="2"/>
        <w:keepNext w:val="0"/>
        <w:keepLines w:val="0"/>
        <w:pageBreakBefore w:val="0"/>
        <w:widowControl w:val="0"/>
        <w:kinsoku/>
        <w:wordWrap/>
        <w:overflowPunct/>
        <w:topLinePunct w:val="0"/>
        <w:autoSpaceDE/>
        <w:autoSpaceDN/>
        <w:bidi w:val="0"/>
        <w:textAlignment w:val="auto"/>
        <w:rPr>
          <w:color w:val="000000" w:themeColor="text1"/>
          <w14:textFill>
            <w14:solidFill>
              <w14:schemeClr w14:val="tx1"/>
            </w14:solidFill>
          </w14:textFill>
        </w:rPr>
        <w:sectPr>
          <w:pgSz w:w="11906" w:h="16838"/>
          <w:pgMar w:top="1984" w:right="1531" w:bottom="1701" w:left="1531" w:header="851" w:footer="1247" w:gutter="0"/>
          <w:pgNumType w:fmt="numberInDash" w:start="1"/>
          <w:cols w:space="0" w:num="1"/>
          <w:titlePg/>
          <w:docGrid w:type="lines" w:linePitch="312" w:charSpace="0"/>
        </w:sectPr>
      </w:pPr>
    </w:p>
    <w:p>
      <w:pPr>
        <w:pStyle w:val="4"/>
        <w:keepNext w:val="0"/>
        <w:keepLines w:val="0"/>
        <w:pageBreakBefore w:val="0"/>
        <w:widowControl w:val="0"/>
        <w:kinsoku/>
        <w:wordWrap/>
        <w:overflowPunct/>
        <w:topLinePunct w:val="0"/>
        <w:autoSpaceDE/>
        <w:autoSpaceDN/>
        <w:bidi w:val="0"/>
        <w:spacing w:before="312" w:beforeLines="100" w:after="312" w:afterLines="100" w:line="600" w:lineRule="exact"/>
        <w:jc w:val="center"/>
        <w:textAlignment w:val="auto"/>
        <w:rPr>
          <w:rFonts w:ascii="宋体" w:hAnsi="宋体" w:eastAsia="宋体" w:cs="宋体"/>
          <w:color w:val="000000" w:themeColor="text1"/>
          <w:sz w:val="32"/>
          <w:szCs w:val="32"/>
          <w14:textFill>
            <w14:solidFill>
              <w14:schemeClr w14:val="tx1"/>
            </w14:solidFill>
          </w14:textFill>
        </w:rPr>
      </w:pPr>
      <w:bookmarkStart w:id="0" w:name="_Toc63356348"/>
      <w:bookmarkStart w:id="1" w:name="_Toc14378"/>
      <w:bookmarkStart w:id="2" w:name="_Toc21909"/>
      <w:bookmarkStart w:id="3" w:name="_Toc25418"/>
      <w:bookmarkStart w:id="4" w:name="_Toc9087"/>
      <w:bookmarkStart w:id="5" w:name="_Toc27204"/>
      <w:bookmarkStart w:id="6" w:name="_Toc63332946"/>
      <w:bookmarkStart w:id="7" w:name="_Toc21189"/>
      <w:bookmarkStart w:id="8" w:name="_Toc24942"/>
      <w:bookmarkStart w:id="9" w:name="_Toc16900"/>
      <w:bookmarkStart w:id="10" w:name="_Toc26878"/>
      <w:bookmarkStart w:id="11" w:name="_Toc21345"/>
      <w:bookmarkStart w:id="12" w:name="_Toc22416"/>
      <w:r>
        <w:rPr>
          <w:rFonts w:hint="eastAsia" w:ascii="宋体" w:hAnsi="宋体" w:eastAsia="宋体" w:cs="宋体"/>
          <w:color w:val="000000" w:themeColor="text1"/>
          <w:sz w:val="32"/>
          <w:szCs w:val="32"/>
          <w14:textFill>
            <w14:solidFill>
              <w14:schemeClr w14:val="tx1"/>
            </w14:solidFill>
          </w14:textFill>
        </w:rPr>
        <w:t>前  言</w:t>
      </w:r>
      <w:bookmarkEnd w:id="0"/>
      <w:bookmarkEnd w:id="1"/>
      <w:bookmarkEnd w:id="2"/>
      <w:bookmarkEnd w:id="3"/>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“十四五”时期（2021—2025），是清河县开启</w:t>
      </w:r>
      <w:r>
        <w:rPr>
          <w:rFonts w:hint="eastAsia" w:ascii="仿宋_GB2312" w:hAnsi="仿宋_GB2312" w:eastAsia="仿宋_GB2312" w:cs="仿宋_GB2312"/>
          <w:color w:val="000000" w:themeColor="text1"/>
          <w:sz w:val="30"/>
          <w:szCs w:val="30"/>
          <w:lang w:eastAsia="zh-CN"/>
          <w14:textFill>
            <w14:solidFill>
              <w14:schemeClr w14:val="tx1"/>
            </w14:solidFill>
          </w14:textFill>
        </w:rPr>
        <w:t>全面建设社会主义现代化国家新征程</w:t>
      </w:r>
      <w:r>
        <w:rPr>
          <w:rFonts w:hint="eastAsia" w:ascii="仿宋_GB2312" w:hAnsi="仿宋_GB2312" w:eastAsia="仿宋_GB2312" w:cs="仿宋_GB2312"/>
          <w:color w:val="000000" w:themeColor="text1"/>
          <w:sz w:val="30"/>
          <w:szCs w:val="30"/>
          <w14:textFill>
            <w14:solidFill>
              <w14:schemeClr w14:val="tx1"/>
            </w14:solidFill>
          </w14:textFill>
        </w:rPr>
        <w:t>的重要时期，是深度融入京津冀协同发展的加速时期，是实现高质量赶超发展的关键时期。高站位、高标准编制和有效实施清河县国民经济和社会发展第十四个五年规划，意义重大、影响深远。</w:t>
      </w:r>
    </w:p>
    <w:p>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color w:val="000000" w:themeColor="text1"/>
          <w:sz w:val="30"/>
          <w:szCs w:val="30"/>
          <w14:textFill>
            <w14:solidFill>
              <w14:schemeClr w14:val="tx1"/>
            </w14:solidFill>
          </w14:textFill>
        </w:rPr>
        <w:sectPr>
          <w:footerReference r:id="rId5" w:type="first"/>
          <w:footerReference r:id="rId4" w:type="default"/>
          <w:pgSz w:w="11906" w:h="16838"/>
          <w:pgMar w:top="1984" w:right="1531" w:bottom="1701" w:left="1531" w:header="851" w:footer="1247" w:gutter="0"/>
          <w:pgNumType w:fmt="numberInDash" w:start="1"/>
          <w:cols w:space="0" w:num="1"/>
          <w:titlePg/>
          <w:docGrid w:type="lines" w:linePitch="312" w:charSpace="0"/>
        </w:sectPr>
      </w:pPr>
      <w:r>
        <w:rPr>
          <w:rFonts w:hint="eastAsia" w:ascii="仿宋_GB2312" w:hAnsi="仿宋_GB2312" w:eastAsia="仿宋_GB2312" w:cs="仿宋_GB2312"/>
          <w:color w:val="000000" w:themeColor="text1"/>
          <w:sz w:val="30"/>
          <w:szCs w:val="30"/>
          <w14:textFill>
            <w14:solidFill>
              <w14:schemeClr w14:val="tx1"/>
            </w14:solidFill>
          </w14:textFill>
        </w:rPr>
        <w:t>本纲要依据中央、省、市关于“十四五”规划和二〇三五年远景目标的建议精神，以及《中共清河县委关于制定国民经济和社会发展第十四个五年规划和二〇三五年远景目标的建议》编制，是未来五年清河县经济社会发展的宏伟蓝图，是全县人民共同的行动纲领。规划期为2021年—2025年</w:t>
      </w:r>
      <w:r>
        <w:rPr>
          <w:rFonts w:hint="eastAsia" w:ascii="仿宋_GB2312" w:hAnsi="仿宋_GB2312" w:eastAsia="仿宋_GB2312" w:cs="仿宋_GB2312"/>
          <w:color w:val="000000" w:themeColor="text1"/>
          <w:sz w:val="30"/>
          <w:szCs w:val="30"/>
          <w:lang w:eastAsia="zh-CN"/>
          <w14:textFill>
            <w14:solidFill>
              <w14:schemeClr w14:val="tx1"/>
            </w14:solidFill>
          </w14:textFill>
        </w:rPr>
        <w:t>，展望到</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2035年</w:t>
      </w:r>
      <w:r>
        <w:rPr>
          <w:rFonts w:hint="eastAsia" w:ascii="仿宋_GB2312" w:hAnsi="仿宋_GB2312" w:eastAsia="仿宋_GB2312" w:cs="仿宋_GB2312"/>
          <w:color w:val="000000" w:themeColor="text1"/>
          <w:sz w:val="30"/>
          <w:szCs w:val="30"/>
          <w14:textFill>
            <w14:solidFill>
              <w14:schemeClr w14:val="tx1"/>
            </w14:solidFill>
          </w14:textFill>
        </w:rPr>
        <w:t>。</w:t>
      </w:r>
    </w:p>
    <w:bookmarkEnd w:id="8"/>
    <w:bookmarkEnd w:id="9"/>
    <w:bookmarkEnd w:id="10"/>
    <w:bookmarkEnd w:id="11"/>
    <w:bookmarkEnd w:id="12"/>
    <w:p>
      <w:pPr>
        <w:keepNext w:val="0"/>
        <w:keepLines w:val="0"/>
        <w:pageBreakBefore w:val="0"/>
        <w:widowControl w:val="0"/>
        <w:kinsoku/>
        <w:wordWrap/>
        <w:overflowPunct/>
        <w:topLinePunct w:val="0"/>
        <w:autoSpaceDE/>
        <w:autoSpaceDN/>
        <w:bidi w:val="0"/>
        <w:jc w:val="center"/>
        <w:textAlignment w:val="auto"/>
        <w:rPr>
          <w:rFonts w:ascii="黑体" w:hAnsi="黑体" w:eastAsia="黑体"/>
          <w:color w:val="000000" w:themeColor="text1"/>
          <w:sz w:val="32"/>
          <w:szCs w:val="32"/>
          <w14:textFill>
            <w14:solidFill>
              <w14:schemeClr w14:val="tx1"/>
            </w14:solidFill>
          </w14:textFill>
        </w:rPr>
        <w:sectPr>
          <w:footerReference r:id="rId7" w:type="first"/>
          <w:footerReference r:id="rId6" w:type="default"/>
          <w:pgSz w:w="11906" w:h="16838"/>
          <w:pgMar w:top="1984" w:right="1531" w:bottom="1701" w:left="1531" w:header="851" w:footer="1247" w:gutter="0"/>
          <w:pgNumType w:fmt="numberInDash" w:start="1"/>
          <w:cols w:space="0" w:num="1"/>
          <w:titlePg/>
          <w:docGrid w:type="lines" w:linePitch="312" w:charSpace="0"/>
        </w:sectPr>
      </w:pPr>
      <w:bookmarkStart w:id="13" w:name="_Toc11203"/>
      <w:bookmarkStart w:id="14" w:name="_Toc3513"/>
      <w:bookmarkStart w:id="15" w:name="_Toc4771"/>
    </w:p>
    <w:p>
      <w:pPr>
        <w:keepNext w:val="0"/>
        <w:keepLines w:val="0"/>
        <w:pageBreakBefore w:val="0"/>
        <w:widowControl w:val="0"/>
        <w:kinsoku/>
        <w:wordWrap/>
        <w:overflowPunct/>
        <w:topLinePunct w:val="0"/>
        <w:autoSpaceDE/>
        <w:autoSpaceDN/>
        <w:bidi w:val="0"/>
        <w:jc w:val="center"/>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目  录</w:t>
      </w:r>
    </w:p>
    <w:p>
      <w:pPr>
        <w:keepNext w:val="0"/>
        <w:keepLines w:val="0"/>
        <w:pageBreakBefore w:val="0"/>
        <w:widowControl w:val="0"/>
        <w:kinsoku/>
        <w:wordWrap/>
        <w:overflowPunct/>
        <w:topLinePunct w:val="0"/>
        <w:autoSpaceDE/>
        <w:autoSpaceDN/>
        <w:bidi w:val="0"/>
        <w:textAlignment w:val="auto"/>
        <w:rPr>
          <w:rFonts w:hint="eastAsia" w:ascii="黑体" w:hAnsi="黑体" w:eastAsia="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240" w:firstLineChars="100"/>
        <w:jc w:val="distribute"/>
        <w:textAlignment w:val="auto"/>
        <w:rPr>
          <w:rFonts w:hint="eastAsia"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第一章 “十三五”时期清河县全面建成小康社会取得的决定性成就</w:t>
      </w:r>
      <w:r>
        <w:rPr>
          <w:rFonts w:hint="eastAsia" w:ascii="黑体" w:hAnsi="黑体" w:eastAsia="黑体"/>
          <w:color w:val="000000" w:themeColor="text1"/>
          <w:sz w:val="24"/>
          <w:szCs w:val="24"/>
          <w:lang w:val="en-US" w:eastAsia="zh-CN"/>
          <w14:textFill>
            <w14:solidFill>
              <w14:schemeClr w14:val="tx1"/>
            </w14:solidFill>
          </w14:textFill>
        </w:rPr>
        <w:t>………………</w:t>
      </w:r>
      <w:r>
        <w:rPr>
          <w:rFonts w:hint="eastAsia" w:ascii="黑体" w:hAnsi="黑体" w:eastAsia="黑体"/>
          <w:color w:val="000000" w:themeColor="text1"/>
          <w:sz w:val="24"/>
          <w:szCs w:val="24"/>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distribute"/>
        <w:textAlignment w:val="auto"/>
        <w:rPr>
          <w:rFonts w:hint="eastAsia" w:ascii="楷体_GB2312" w:hAnsi="楷体_GB2312" w:eastAsia="楷体_GB2312" w:cs="楷体_GB2312"/>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sz w:val="24"/>
          <w:szCs w:val="24"/>
          <w14:textFill>
            <w14:solidFill>
              <w14:schemeClr w14:val="tx1"/>
            </w14:solidFill>
          </w14:textFill>
        </w:rPr>
        <w:t>一、综合实力跃上新台阶，提前实现两个翻番</w:t>
      </w: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w:t>
      </w:r>
      <w:r>
        <w:rPr>
          <w:rFonts w:hint="eastAsia" w:ascii="楷体_GB2312" w:hAnsi="楷体_GB2312" w:eastAsia="楷体_GB2312" w:cs="楷体_GB2312"/>
          <w:color w:val="000000" w:themeColor="text1"/>
          <w:sz w:val="24"/>
          <w:szCs w:val="24"/>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distribute"/>
        <w:textAlignment w:val="auto"/>
        <w:rPr>
          <w:rFonts w:hint="eastAsia" w:ascii="楷体_GB2312" w:hAnsi="楷体_GB2312" w:eastAsia="楷体_GB2312" w:cs="楷体_GB2312"/>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sz w:val="24"/>
          <w:szCs w:val="24"/>
          <w14:textFill>
            <w14:solidFill>
              <w14:schemeClr w14:val="tx1"/>
            </w14:solidFill>
          </w14:textFill>
        </w:rPr>
        <w:t>二、产业体系持续优化，发展动力更加强劲</w:t>
      </w: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w:t>
      </w:r>
      <w:r>
        <w:rPr>
          <w:rFonts w:hint="eastAsia" w:ascii="楷体_GB2312" w:hAnsi="楷体_GB2312" w:eastAsia="楷体_GB2312" w:cs="楷体_GB2312"/>
          <w:color w:val="000000" w:themeColor="text1"/>
          <w:sz w:val="24"/>
          <w:szCs w:val="24"/>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（一）农业生产持续增效</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（二）工业经济快速发展</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（三）服务业发展日趋活跃</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3</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distribute"/>
        <w:textAlignment w:val="auto"/>
        <w:rPr>
          <w:rFonts w:hint="eastAsia" w:ascii="楷体_GB2312" w:hAnsi="楷体_GB2312" w:eastAsia="楷体_GB2312" w:cs="楷体_GB2312"/>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sz w:val="24"/>
          <w:szCs w:val="24"/>
          <w14:textFill>
            <w14:solidFill>
              <w14:schemeClr w14:val="tx1"/>
            </w14:solidFill>
          </w14:textFill>
        </w:rPr>
        <w:t>三、招商选资成效显著，项目建设持续推进</w:t>
      </w: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w:t>
      </w:r>
      <w:r>
        <w:rPr>
          <w:rFonts w:hint="eastAsia" w:ascii="楷体_GB2312" w:hAnsi="楷体_GB2312" w:eastAsia="楷体_GB2312" w:cs="楷体_GB2312"/>
          <w:color w:val="000000" w:themeColor="text1"/>
          <w:sz w:val="24"/>
          <w:szCs w:val="24"/>
          <w14:textFill>
            <w14:solidFill>
              <w14:schemeClr w14:val="tx1"/>
            </w14:solidFill>
          </w14:textFill>
        </w:rPr>
        <w:t>4</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distribute"/>
        <w:textAlignment w:val="auto"/>
        <w:rPr>
          <w:rFonts w:hint="eastAsia" w:ascii="楷体_GB2312" w:hAnsi="楷体_GB2312" w:eastAsia="楷体_GB2312" w:cs="楷体_GB2312"/>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sz w:val="24"/>
          <w:szCs w:val="24"/>
          <w14:textFill>
            <w14:solidFill>
              <w14:schemeClr w14:val="tx1"/>
            </w14:solidFill>
          </w14:textFill>
        </w:rPr>
        <w:t>四、创新能力稳步提升，发展活力持续释放</w:t>
      </w: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w:t>
      </w:r>
      <w:r>
        <w:rPr>
          <w:rFonts w:hint="eastAsia" w:ascii="楷体_GB2312" w:hAnsi="楷体_GB2312" w:eastAsia="楷体_GB2312" w:cs="楷体_GB2312"/>
          <w:color w:val="000000" w:themeColor="text1"/>
          <w:sz w:val="24"/>
          <w:szCs w:val="24"/>
          <w14:textFill>
            <w14:solidFill>
              <w14:schemeClr w14:val="tx1"/>
            </w14:solidFill>
          </w14:textFill>
        </w:rPr>
        <w:t>5</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distribute"/>
        <w:textAlignment w:val="auto"/>
        <w:rPr>
          <w:rFonts w:hint="eastAsia" w:ascii="楷体_GB2312" w:hAnsi="楷体_GB2312" w:eastAsia="楷体_GB2312" w:cs="楷体_GB2312"/>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sz w:val="24"/>
          <w:szCs w:val="24"/>
          <w14:textFill>
            <w14:solidFill>
              <w14:schemeClr w14:val="tx1"/>
            </w14:solidFill>
          </w14:textFill>
        </w:rPr>
        <w:t>五、城乡建设持续加强，协调发展更加深入</w:t>
      </w: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w:t>
      </w:r>
      <w:r>
        <w:rPr>
          <w:rFonts w:hint="eastAsia" w:ascii="楷体_GB2312" w:hAnsi="楷体_GB2312" w:eastAsia="楷体_GB2312" w:cs="楷体_GB2312"/>
          <w:color w:val="000000" w:themeColor="text1"/>
          <w:sz w:val="24"/>
          <w:szCs w:val="24"/>
          <w14:textFill>
            <w14:solidFill>
              <w14:schemeClr w14:val="tx1"/>
            </w14:solidFill>
          </w14:textFill>
        </w:rPr>
        <w:t>5</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distribute"/>
        <w:textAlignment w:val="auto"/>
        <w:rPr>
          <w:rFonts w:hint="eastAsia" w:ascii="楷体_GB2312" w:hAnsi="楷体_GB2312" w:eastAsia="楷体_GB2312" w:cs="楷体_GB2312"/>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sz w:val="24"/>
          <w:szCs w:val="24"/>
          <w14:textFill>
            <w14:solidFill>
              <w14:schemeClr w14:val="tx1"/>
            </w14:solidFill>
          </w14:textFill>
        </w:rPr>
        <w:t>六、深化改革取得突破，发展环境持续优化</w:t>
      </w: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w:t>
      </w:r>
      <w:r>
        <w:rPr>
          <w:rFonts w:hint="eastAsia" w:ascii="楷体_GB2312" w:hAnsi="楷体_GB2312" w:eastAsia="楷体_GB2312" w:cs="楷体_GB2312"/>
          <w:color w:val="000000" w:themeColor="text1"/>
          <w:sz w:val="24"/>
          <w:szCs w:val="24"/>
          <w14:textFill>
            <w14:solidFill>
              <w14:schemeClr w14:val="tx1"/>
            </w14:solidFill>
          </w14:textFill>
        </w:rPr>
        <w:t>7</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distribute"/>
        <w:textAlignment w:val="auto"/>
        <w:rPr>
          <w:rFonts w:hint="eastAsia" w:ascii="楷体_GB2312" w:hAnsi="楷体_GB2312" w:eastAsia="楷体_GB2312" w:cs="楷体_GB2312"/>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sz w:val="24"/>
          <w:szCs w:val="24"/>
          <w14:textFill>
            <w14:solidFill>
              <w14:schemeClr w14:val="tx1"/>
            </w14:solidFill>
          </w14:textFill>
        </w:rPr>
        <w:t>七、生态治理持续加强，环境状况明显改善</w:t>
      </w: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w:t>
      </w:r>
      <w:r>
        <w:rPr>
          <w:rFonts w:hint="eastAsia" w:ascii="楷体_GB2312" w:hAnsi="楷体_GB2312" w:eastAsia="楷体_GB2312" w:cs="楷体_GB2312"/>
          <w:color w:val="000000" w:themeColor="text1"/>
          <w:sz w:val="24"/>
          <w:szCs w:val="24"/>
          <w14:textFill>
            <w14:solidFill>
              <w14:schemeClr w14:val="tx1"/>
            </w14:solidFill>
          </w14:textFill>
        </w:rPr>
        <w:t>7</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distribute"/>
        <w:textAlignment w:val="auto"/>
        <w:rPr>
          <w:rFonts w:hint="eastAsia" w:ascii="楷体_GB2312" w:hAnsi="楷体_GB2312" w:eastAsia="楷体_GB2312" w:cs="楷体_GB2312"/>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sz w:val="24"/>
          <w:szCs w:val="24"/>
          <w14:textFill>
            <w14:solidFill>
              <w14:schemeClr w14:val="tx1"/>
            </w14:solidFill>
          </w14:textFill>
        </w:rPr>
        <w:t>八、民生福祉不断增进，人民生活更加幸福</w:t>
      </w: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w:t>
      </w:r>
      <w:r>
        <w:rPr>
          <w:rFonts w:hint="eastAsia" w:ascii="楷体_GB2312" w:hAnsi="楷体_GB2312" w:eastAsia="楷体_GB2312" w:cs="楷体_GB2312"/>
          <w:color w:val="000000" w:themeColor="text1"/>
          <w:sz w:val="24"/>
          <w:szCs w:val="24"/>
          <w14:textFill>
            <w14:solidFill>
              <w14:schemeClr w14:val="tx1"/>
            </w14:solidFill>
          </w14:textFill>
        </w:rPr>
        <w:t>8</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distribute"/>
        <w:textAlignment w:val="auto"/>
        <w:rPr>
          <w:rFonts w:hint="eastAsia" w:ascii="楷体_GB2312" w:hAnsi="楷体_GB2312" w:eastAsia="楷体_GB2312" w:cs="楷体_GB2312"/>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sz w:val="24"/>
          <w:szCs w:val="24"/>
          <w14:textFill>
            <w14:solidFill>
              <w14:schemeClr w14:val="tx1"/>
            </w14:solidFill>
          </w14:textFill>
        </w:rPr>
        <w:t>九、社会大局和谐稳定，平安清河持续深化</w:t>
      </w: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w:t>
      </w:r>
      <w:r>
        <w:rPr>
          <w:rFonts w:hint="eastAsia" w:ascii="楷体_GB2312" w:hAnsi="楷体_GB2312" w:eastAsia="楷体_GB2312" w:cs="楷体_GB2312"/>
          <w:color w:val="000000" w:themeColor="text1"/>
          <w:sz w:val="24"/>
          <w:szCs w:val="24"/>
          <w14:textFill>
            <w14:solidFill>
              <w14:schemeClr w14:val="tx1"/>
            </w14:solidFill>
          </w14:textFill>
        </w:rPr>
        <w:t>10</w:t>
      </w:r>
    </w:p>
    <w:p>
      <w:pPr>
        <w:keepNext w:val="0"/>
        <w:keepLines w:val="0"/>
        <w:pageBreakBefore w:val="0"/>
        <w:widowControl w:val="0"/>
        <w:kinsoku/>
        <w:wordWrap/>
        <w:overflowPunct/>
        <w:topLinePunct w:val="0"/>
        <w:autoSpaceDE/>
        <w:autoSpaceDN/>
        <w:bidi w:val="0"/>
        <w:adjustRightInd/>
        <w:snapToGrid/>
        <w:spacing w:line="480" w:lineRule="exact"/>
        <w:ind w:firstLine="240" w:firstLineChars="100"/>
        <w:jc w:val="distribute"/>
        <w:textAlignment w:val="auto"/>
        <w:rPr>
          <w:rFonts w:hint="eastAsia"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第二章 “十四五”时期面临的机遇与挑战</w:t>
      </w:r>
      <w:r>
        <w:rPr>
          <w:rFonts w:hint="eastAsia" w:ascii="黑体" w:hAnsi="黑体" w:eastAsia="黑体"/>
          <w:color w:val="000000" w:themeColor="text1"/>
          <w:sz w:val="24"/>
          <w:szCs w:val="24"/>
          <w:lang w:val="en-US" w:eastAsia="zh-CN"/>
          <w14:textFill>
            <w14:solidFill>
              <w14:schemeClr w14:val="tx1"/>
            </w14:solidFill>
          </w14:textFill>
        </w:rPr>
        <w:t>…………………………………………</w:t>
      </w:r>
      <w:r>
        <w:rPr>
          <w:rFonts w:hint="eastAsia" w:ascii="黑体" w:hAnsi="黑体" w:eastAsia="黑体"/>
          <w:color w:val="000000" w:themeColor="text1"/>
          <w:sz w:val="24"/>
          <w:szCs w:val="24"/>
          <w14:textFill>
            <w14:solidFill>
              <w14:schemeClr w14:val="tx1"/>
            </w14:solidFill>
          </w14:textFill>
        </w:rPr>
        <w:t>11</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distribute"/>
        <w:textAlignment w:val="auto"/>
        <w:rPr>
          <w:rFonts w:hint="eastAsia" w:ascii="楷体_GB2312" w:hAnsi="楷体_GB2312" w:eastAsia="楷体_GB2312" w:cs="楷体_GB2312"/>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sz w:val="24"/>
          <w:szCs w:val="24"/>
          <w14:textFill>
            <w14:solidFill>
              <w14:schemeClr w14:val="tx1"/>
            </w14:solidFill>
          </w14:textFill>
        </w:rPr>
        <w:t>一、面临机遇</w:t>
      </w: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w:t>
      </w:r>
      <w:r>
        <w:rPr>
          <w:rFonts w:hint="eastAsia" w:ascii="楷体_GB2312" w:hAnsi="楷体_GB2312" w:eastAsia="楷体_GB2312" w:cs="楷体_GB2312"/>
          <w:color w:val="000000" w:themeColor="text1"/>
          <w:sz w:val="24"/>
          <w:szCs w:val="24"/>
          <w14:textFill>
            <w14:solidFill>
              <w14:schemeClr w14:val="tx1"/>
            </w14:solidFill>
          </w14:textFill>
        </w:rPr>
        <w:t>11</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distribute"/>
        <w:textAlignment w:val="auto"/>
        <w:rPr>
          <w:rFonts w:hint="eastAsia" w:ascii="楷体_GB2312" w:hAnsi="楷体_GB2312" w:eastAsia="楷体_GB2312" w:cs="楷体_GB2312"/>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sz w:val="24"/>
          <w:szCs w:val="24"/>
          <w14:textFill>
            <w14:solidFill>
              <w14:schemeClr w14:val="tx1"/>
            </w14:solidFill>
          </w14:textFill>
        </w:rPr>
        <w:t>二、严峻挑战</w:t>
      </w: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w:t>
      </w:r>
      <w:r>
        <w:rPr>
          <w:rFonts w:hint="eastAsia" w:ascii="楷体_GB2312" w:hAnsi="楷体_GB2312" w:eastAsia="楷体_GB2312" w:cs="楷体_GB2312"/>
          <w:color w:val="000000" w:themeColor="text1"/>
          <w:sz w:val="24"/>
          <w:szCs w:val="24"/>
          <w14:textFill>
            <w14:solidFill>
              <w14:schemeClr w14:val="tx1"/>
            </w14:solidFill>
          </w14:textFill>
        </w:rPr>
        <w:t>11</w:t>
      </w:r>
    </w:p>
    <w:p>
      <w:pPr>
        <w:keepNext w:val="0"/>
        <w:keepLines w:val="0"/>
        <w:pageBreakBefore w:val="0"/>
        <w:widowControl w:val="0"/>
        <w:kinsoku/>
        <w:wordWrap/>
        <w:overflowPunct/>
        <w:topLinePunct w:val="0"/>
        <w:autoSpaceDE/>
        <w:autoSpaceDN/>
        <w:bidi w:val="0"/>
        <w:adjustRightInd/>
        <w:snapToGrid/>
        <w:spacing w:line="480" w:lineRule="exact"/>
        <w:ind w:firstLine="240" w:firstLineChars="100"/>
        <w:jc w:val="distribute"/>
        <w:textAlignment w:val="auto"/>
        <w:rPr>
          <w:rFonts w:hint="eastAsia"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第三章 “十四五”时期发展的指导思想和基本要求</w:t>
      </w:r>
      <w:r>
        <w:rPr>
          <w:rFonts w:hint="eastAsia" w:ascii="黑体" w:hAnsi="黑体" w:eastAsia="黑体"/>
          <w:color w:val="000000" w:themeColor="text1"/>
          <w:sz w:val="24"/>
          <w:szCs w:val="24"/>
          <w:lang w:val="en-US" w:eastAsia="zh-CN"/>
          <w14:textFill>
            <w14:solidFill>
              <w14:schemeClr w14:val="tx1"/>
            </w14:solidFill>
          </w14:textFill>
        </w:rPr>
        <w:t>………………………………</w:t>
      </w:r>
      <w:r>
        <w:rPr>
          <w:rFonts w:hint="eastAsia" w:ascii="黑体" w:hAnsi="黑体" w:eastAsia="黑体"/>
          <w:color w:val="000000" w:themeColor="text1"/>
          <w:sz w:val="24"/>
          <w:szCs w:val="24"/>
          <w14:textFill>
            <w14:solidFill>
              <w14:schemeClr w14:val="tx1"/>
            </w14:solidFill>
          </w14:textFill>
        </w:rPr>
        <w:t>13</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distribute"/>
        <w:textAlignment w:val="auto"/>
        <w:rPr>
          <w:rFonts w:hint="eastAsia" w:ascii="楷体_GB2312" w:hAnsi="楷体_GB2312" w:eastAsia="楷体_GB2312" w:cs="楷体_GB2312"/>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sz w:val="24"/>
          <w:szCs w:val="24"/>
          <w14:textFill>
            <w14:solidFill>
              <w14:schemeClr w14:val="tx1"/>
            </w14:solidFill>
          </w14:textFill>
        </w:rPr>
        <w:t>一、指导思想</w:t>
      </w: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w:t>
      </w:r>
      <w:r>
        <w:rPr>
          <w:rFonts w:hint="eastAsia" w:ascii="楷体_GB2312" w:hAnsi="楷体_GB2312" w:eastAsia="楷体_GB2312" w:cs="楷体_GB2312"/>
          <w:color w:val="000000" w:themeColor="text1"/>
          <w:sz w:val="24"/>
          <w:szCs w:val="24"/>
          <w14:textFill>
            <w14:solidFill>
              <w14:schemeClr w14:val="tx1"/>
            </w14:solidFill>
          </w14:textFill>
        </w:rPr>
        <w:t>13</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distribute"/>
        <w:textAlignment w:val="auto"/>
        <w:rPr>
          <w:rFonts w:hint="eastAsia" w:ascii="楷体_GB2312" w:hAnsi="楷体_GB2312" w:eastAsia="楷体_GB2312" w:cs="楷体_GB2312"/>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sz w:val="24"/>
          <w:szCs w:val="24"/>
          <w14:textFill>
            <w14:solidFill>
              <w14:schemeClr w14:val="tx1"/>
            </w14:solidFill>
          </w14:textFill>
        </w:rPr>
        <w:t>二、基本要求</w:t>
      </w: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w:t>
      </w:r>
      <w:r>
        <w:rPr>
          <w:rFonts w:hint="eastAsia" w:ascii="楷体_GB2312" w:hAnsi="楷体_GB2312" w:eastAsia="楷体_GB2312" w:cs="楷体_GB2312"/>
          <w:color w:val="000000" w:themeColor="text1"/>
          <w:sz w:val="24"/>
          <w:szCs w:val="24"/>
          <w14:textFill>
            <w14:solidFill>
              <w14:schemeClr w14:val="tx1"/>
            </w14:solidFill>
          </w14:textFill>
        </w:rPr>
        <w:t>13</w:t>
      </w:r>
    </w:p>
    <w:p>
      <w:pPr>
        <w:keepNext w:val="0"/>
        <w:keepLines w:val="0"/>
        <w:pageBreakBefore w:val="0"/>
        <w:widowControl w:val="0"/>
        <w:kinsoku/>
        <w:wordWrap/>
        <w:overflowPunct/>
        <w:topLinePunct w:val="0"/>
        <w:autoSpaceDE/>
        <w:autoSpaceDN/>
        <w:bidi w:val="0"/>
        <w:adjustRightInd/>
        <w:snapToGrid/>
        <w:spacing w:line="480" w:lineRule="exact"/>
        <w:ind w:firstLine="240" w:firstLineChars="100"/>
        <w:jc w:val="distribute"/>
        <w:textAlignment w:val="auto"/>
        <w:rPr>
          <w:rFonts w:hint="eastAsia"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第四章 “十四五”时期清河县发展定位和主要目标</w:t>
      </w:r>
      <w:r>
        <w:rPr>
          <w:rFonts w:hint="eastAsia" w:ascii="黑体" w:hAnsi="黑体" w:eastAsia="黑体"/>
          <w:color w:val="000000" w:themeColor="text1"/>
          <w:sz w:val="24"/>
          <w:szCs w:val="24"/>
          <w:lang w:val="en-US" w:eastAsia="zh-CN"/>
          <w14:textFill>
            <w14:solidFill>
              <w14:schemeClr w14:val="tx1"/>
            </w14:solidFill>
          </w14:textFill>
        </w:rPr>
        <w:t>………………………………</w:t>
      </w:r>
      <w:r>
        <w:rPr>
          <w:rFonts w:hint="eastAsia" w:ascii="黑体" w:hAnsi="黑体" w:eastAsia="黑体"/>
          <w:color w:val="000000" w:themeColor="text1"/>
          <w:sz w:val="24"/>
          <w:szCs w:val="24"/>
          <w14:textFill>
            <w14:solidFill>
              <w14:schemeClr w14:val="tx1"/>
            </w14:solidFill>
          </w14:textFill>
        </w:rPr>
        <w:t>15</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distribute"/>
        <w:textAlignment w:val="auto"/>
        <w:rPr>
          <w:rFonts w:hint="eastAsia" w:ascii="楷体_GB2312" w:hAnsi="楷体_GB2312" w:eastAsia="楷体_GB2312" w:cs="楷体_GB2312"/>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sz w:val="24"/>
          <w:szCs w:val="24"/>
          <w14:textFill>
            <w14:solidFill>
              <w14:schemeClr w14:val="tx1"/>
            </w14:solidFill>
          </w14:textFill>
        </w:rPr>
        <w:t>一、发展定位</w:t>
      </w: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w:t>
      </w:r>
      <w:r>
        <w:rPr>
          <w:rFonts w:hint="eastAsia" w:ascii="楷体_GB2312" w:hAnsi="楷体_GB2312" w:eastAsia="楷体_GB2312" w:cs="楷体_GB2312"/>
          <w:color w:val="000000" w:themeColor="text1"/>
          <w:sz w:val="24"/>
          <w:szCs w:val="24"/>
          <w14:textFill>
            <w14:solidFill>
              <w14:schemeClr w14:val="tx1"/>
            </w14:solidFill>
          </w14:textFill>
        </w:rPr>
        <w:t>15</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（一）城市定位：一城三区</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15</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（二）功能布局：一核三带</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15</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distribute"/>
        <w:textAlignment w:val="auto"/>
        <w:rPr>
          <w:rFonts w:hint="eastAsia" w:ascii="楷体_GB2312" w:hAnsi="楷体_GB2312" w:eastAsia="楷体_GB2312" w:cs="楷体_GB2312"/>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sz w:val="24"/>
          <w:szCs w:val="24"/>
          <w14:textFill>
            <w14:solidFill>
              <w14:schemeClr w14:val="tx1"/>
            </w14:solidFill>
          </w14:textFill>
        </w:rPr>
        <w:t>二、发展目标</w:t>
      </w: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w:t>
      </w:r>
      <w:r>
        <w:rPr>
          <w:rFonts w:hint="eastAsia" w:ascii="楷体_GB2312" w:hAnsi="楷体_GB2312" w:eastAsia="楷体_GB2312" w:cs="楷体_GB2312"/>
          <w:color w:val="000000" w:themeColor="text1"/>
          <w:sz w:val="24"/>
          <w:szCs w:val="24"/>
          <w14:textFill>
            <w14:solidFill>
              <w14:schemeClr w14:val="tx1"/>
            </w14:solidFill>
          </w14:textFill>
        </w:rPr>
        <w:t>16</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（一）综合实力更强</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16</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（二）城乡发展更快</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17</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（三）发展动力更足</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17</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（四）生态环境更美</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17</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（五）人民生活更好</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17</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（六）社会治理更优</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17</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distribute"/>
        <w:textAlignment w:val="auto"/>
        <w:rPr>
          <w:rFonts w:hint="eastAsia" w:ascii="楷体_GB2312" w:hAnsi="楷体_GB2312" w:eastAsia="楷体_GB2312" w:cs="楷体_GB2312"/>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sz w:val="24"/>
          <w:szCs w:val="24"/>
          <w14:textFill>
            <w14:solidFill>
              <w14:schemeClr w14:val="tx1"/>
            </w14:solidFill>
          </w14:textFill>
        </w:rPr>
        <w:t>三、远景目标</w:t>
      </w: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w:t>
      </w:r>
      <w:r>
        <w:rPr>
          <w:rFonts w:hint="eastAsia" w:ascii="楷体_GB2312" w:hAnsi="楷体_GB2312" w:eastAsia="楷体_GB2312" w:cs="楷体_GB2312"/>
          <w:color w:val="000000" w:themeColor="text1"/>
          <w:sz w:val="24"/>
          <w:szCs w:val="24"/>
          <w14:textFill>
            <w14:solidFill>
              <w14:schemeClr w14:val="tx1"/>
            </w14:solidFill>
          </w14:textFill>
        </w:rPr>
        <w:t>19</w:t>
      </w:r>
    </w:p>
    <w:p>
      <w:pPr>
        <w:keepNext w:val="0"/>
        <w:keepLines w:val="0"/>
        <w:pageBreakBefore w:val="0"/>
        <w:widowControl w:val="0"/>
        <w:kinsoku/>
        <w:wordWrap/>
        <w:overflowPunct/>
        <w:topLinePunct w:val="0"/>
        <w:autoSpaceDE/>
        <w:autoSpaceDN/>
        <w:bidi w:val="0"/>
        <w:adjustRightInd/>
        <w:snapToGrid/>
        <w:spacing w:line="480" w:lineRule="exact"/>
        <w:ind w:firstLine="240" w:firstLineChars="100"/>
        <w:jc w:val="distribute"/>
        <w:textAlignment w:val="auto"/>
        <w:rPr>
          <w:rFonts w:hint="eastAsia"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第五章 “十四五”时期清河高质量赶超发展的重点任务</w:t>
      </w:r>
      <w:r>
        <w:rPr>
          <w:rFonts w:hint="eastAsia" w:ascii="黑体" w:hAnsi="黑体" w:eastAsia="黑体"/>
          <w:color w:val="000000" w:themeColor="text1"/>
          <w:sz w:val="24"/>
          <w:szCs w:val="24"/>
          <w:lang w:val="en-US" w:eastAsia="zh-CN"/>
          <w14:textFill>
            <w14:solidFill>
              <w14:schemeClr w14:val="tx1"/>
            </w14:solidFill>
          </w14:textFill>
        </w:rPr>
        <w:t>…………………………</w:t>
      </w:r>
      <w:r>
        <w:rPr>
          <w:rFonts w:hint="eastAsia" w:ascii="黑体" w:hAnsi="黑体" w:eastAsia="黑体"/>
          <w:color w:val="000000" w:themeColor="text1"/>
          <w:sz w:val="24"/>
          <w:szCs w:val="24"/>
          <w14:textFill>
            <w14:solidFill>
              <w14:schemeClr w14:val="tx1"/>
            </w14:solidFill>
          </w14:textFill>
        </w:rPr>
        <w:t>20</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distribute"/>
        <w:textAlignment w:val="auto"/>
        <w:rPr>
          <w:rFonts w:hint="eastAsia" w:ascii="楷体_GB2312" w:hAnsi="楷体_GB2312" w:eastAsia="楷体_GB2312" w:cs="楷体_GB2312"/>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sz w:val="24"/>
          <w:szCs w:val="24"/>
          <w14:textFill>
            <w14:solidFill>
              <w14:schemeClr w14:val="tx1"/>
            </w14:solidFill>
          </w14:textFill>
        </w:rPr>
        <w:t>一、突出创新引领，塑造高质量赶超发展新优势</w:t>
      </w: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w:t>
      </w:r>
      <w:r>
        <w:rPr>
          <w:rFonts w:hint="eastAsia" w:ascii="楷体_GB2312" w:hAnsi="楷体_GB2312" w:eastAsia="楷体_GB2312" w:cs="楷体_GB2312"/>
          <w:color w:val="000000" w:themeColor="text1"/>
          <w:sz w:val="24"/>
          <w:szCs w:val="24"/>
          <w14:textFill>
            <w14:solidFill>
              <w14:schemeClr w14:val="tx1"/>
            </w14:solidFill>
          </w14:textFill>
        </w:rPr>
        <w:t>20</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（一）优化创新环境</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20</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（二）健全创新平台</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20</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（三）培育创新主体</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21</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（四）聚集创新人才</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21</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distribute"/>
        <w:textAlignment w:val="auto"/>
        <w:rPr>
          <w:rFonts w:hint="eastAsia" w:ascii="楷体_GB2312" w:hAnsi="楷体_GB2312" w:eastAsia="楷体_GB2312" w:cs="楷体_GB2312"/>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sz w:val="24"/>
          <w:szCs w:val="24"/>
          <w14:textFill>
            <w14:solidFill>
              <w14:schemeClr w14:val="tx1"/>
            </w14:solidFill>
          </w14:textFill>
        </w:rPr>
        <w:t>二、聚焦服务提质，激发高质量赶超发展新活力</w:t>
      </w: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w:t>
      </w:r>
      <w:r>
        <w:rPr>
          <w:rFonts w:hint="eastAsia" w:ascii="楷体_GB2312" w:hAnsi="楷体_GB2312" w:eastAsia="楷体_GB2312" w:cs="楷体_GB2312"/>
          <w:color w:val="000000" w:themeColor="text1"/>
          <w:sz w:val="24"/>
          <w:szCs w:val="24"/>
          <w14:textFill>
            <w14:solidFill>
              <w14:schemeClr w14:val="tx1"/>
            </w14:solidFill>
          </w14:textFill>
        </w:rPr>
        <w:t>22</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（一）营造一流服务环境</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22</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（二）深化“放管服”改革</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22</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（三）推进社会信用体系建设</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23</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distribute"/>
        <w:textAlignment w:val="auto"/>
        <w:rPr>
          <w:rFonts w:hint="eastAsia" w:ascii="楷体_GB2312" w:hAnsi="楷体_GB2312" w:eastAsia="楷体_GB2312" w:cs="楷体_GB2312"/>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sz w:val="24"/>
          <w:szCs w:val="24"/>
          <w14:textFill>
            <w14:solidFill>
              <w14:schemeClr w14:val="tx1"/>
            </w14:solidFill>
          </w14:textFill>
        </w:rPr>
        <w:t>三、优化基础设施，提升高质量赶超发展承载力</w:t>
      </w: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w:t>
      </w:r>
      <w:r>
        <w:rPr>
          <w:rFonts w:hint="eastAsia" w:ascii="楷体_GB2312" w:hAnsi="楷体_GB2312" w:eastAsia="楷体_GB2312" w:cs="楷体_GB2312"/>
          <w:color w:val="000000" w:themeColor="text1"/>
          <w:sz w:val="24"/>
          <w:szCs w:val="24"/>
          <w14:textFill>
            <w14:solidFill>
              <w14:schemeClr w14:val="tx1"/>
            </w14:solidFill>
          </w14:textFill>
        </w:rPr>
        <w:t>23</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（一）统筹推进新型基础设施建设</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23</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（二）构建现代化综合交通体系</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24</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（三）加强水利基础设施建设</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24</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（四）优化能源供应保障体系</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25</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（五）加快减灾防灾设施建设</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25</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distribute"/>
        <w:textAlignment w:val="auto"/>
        <w:rPr>
          <w:rFonts w:hint="eastAsia" w:ascii="楷体_GB2312" w:hAnsi="楷体_GB2312" w:eastAsia="楷体_GB2312" w:cs="楷体_GB2312"/>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sz w:val="24"/>
          <w:szCs w:val="24"/>
          <w14:textFill>
            <w14:solidFill>
              <w14:schemeClr w14:val="tx1"/>
            </w14:solidFill>
          </w14:textFill>
        </w:rPr>
        <w:t>四、强化招商选资，厚植高质量赶超发展新动能</w:t>
      </w: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w:t>
      </w:r>
      <w:r>
        <w:rPr>
          <w:rFonts w:hint="eastAsia" w:ascii="楷体_GB2312" w:hAnsi="楷体_GB2312" w:eastAsia="楷体_GB2312" w:cs="楷体_GB2312"/>
          <w:color w:val="000000" w:themeColor="text1"/>
          <w:sz w:val="24"/>
          <w:szCs w:val="24"/>
          <w14:textFill>
            <w14:solidFill>
              <w14:schemeClr w14:val="tx1"/>
            </w14:solidFill>
          </w14:textFill>
        </w:rPr>
        <w:t>26</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（一）狠抓招商选资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26</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（二）加快项目“双进双产”</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26</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（三）优化要素供给</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27</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（四）借力京津，融入全国大循环双循环格局</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29</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distribute"/>
        <w:textAlignment w:val="auto"/>
        <w:rPr>
          <w:rFonts w:hint="eastAsia" w:ascii="楷体_GB2312" w:hAnsi="楷体_GB2312" w:eastAsia="楷体_GB2312" w:cs="楷体_GB2312"/>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sz w:val="24"/>
          <w:szCs w:val="24"/>
          <w14:textFill>
            <w14:solidFill>
              <w14:schemeClr w14:val="tx1"/>
            </w14:solidFill>
          </w14:textFill>
        </w:rPr>
        <w:t>五、聚焦产业升级，打造高质量赶超发展强引擎</w:t>
      </w: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w:t>
      </w:r>
      <w:r>
        <w:rPr>
          <w:rFonts w:hint="eastAsia" w:ascii="楷体_GB2312" w:hAnsi="楷体_GB2312" w:eastAsia="楷体_GB2312" w:cs="楷体_GB2312"/>
          <w:color w:val="000000" w:themeColor="text1"/>
          <w:sz w:val="24"/>
          <w:szCs w:val="24"/>
          <w14:textFill>
            <w14:solidFill>
              <w14:schemeClr w14:val="tx1"/>
            </w14:solidFill>
          </w14:textFill>
        </w:rPr>
        <w:t>29</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（一）着力推进农业现代化</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29</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（二）着力推进制造业高端化</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31</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（三）着力推进现代服务业优质化</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35</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（四）着力提升对外开放水平</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38</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（五）着力加强产业载体建设</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38</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distribute"/>
        <w:textAlignment w:val="auto"/>
        <w:rPr>
          <w:rFonts w:hint="eastAsia" w:ascii="楷体_GB2312" w:hAnsi="楷体_GB2312" w:eastAsia="楷体_GB2312" w:cs="楷体_GB2312"/>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sz w:val="24"/>
          <w:szCs w:val="24"/>
          <w14:textFill>
            <w14:solidFill>
              <w14:schemeClr w14:val="tx1"/>
            </w14:solidFill>
          </w14:textFill>
        </w:rPr>
        <w:t>六、统筹城乡融合，拓展高质量赶超发展新空间</w:t>
      </w: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w:t>
      </w:r>
      <w:r>
        <w:rPr>
          <w:rFonts w:hint="eastAsia" w:ascii="楷体_GB2312" w:hAnsi="楷体_GB2312" w:eastAsia="楷体_GB2312" w:cs="楷体_GB2312"/>
          <w:color w:val="000000" w:themeColor="text1"/>
          <w:sz w:val="24"/>
          <w:szCs w:val="24"/>
          <w14:textFill>
            <w14:solidFill>
              <w14:schemeClr w14:val="tx1"/>
            </w14:solidFill>
          </w14:textFill>
        </w:rPr>
        <w:t>39</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（一）完善国土空间开发保护体系</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39</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（二）开展中心城市成长行动</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40</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（三）推进以人为核心的新型城镇化</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42</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（四）实施美丽乡村建设行动</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43</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distribute"/>
        <w:textAlignment w:val="auto"/>
        <w:rPr>
          <w:rFonts w:hint="eastAsia" w:ascii="楷体_GB2312" w:hAnsi="楷体_GB2312" w:eastAsia="楷体_GB2312" w:cs="楷体_GB2312"/>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sz w:val="24"/>
          <w:szCs w:val="24"/>
          <w14:textFill>
            <w14:solidFill>
              <w14:schemeClr w14:val="tx1"/>
            </w14:solidFill>
          </w14:textFill>
        </w:rPr>
        <w:t>七、聚焦绿色生态，绘就高质量赶超发展靓丽色彩</w:t>
      </w: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w:t>
      </w:r>
      <w:r>
        <w:rPr>
          <w:rFonts w:hint="eastAsia" w:ascii="楷体_GB2312" w:hAnsi="楷体_GB2312" w:eastAsia="楷体_GB2312" w:cs="楷体_GB2312"/>
          <w:color w:val="000000" w:themeColor="text1"/>
          <w:sz w:val="24"/>
          <w:szCs w:val="24"/>
          <w14:textFill>
            <w14:solidFill>
              <w14:schemeClr w14:val="tx1"/>
            </w14:solidFill>
          </w14:textFill>
        </w:rPr>
        <w:t>45</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（一）打好环境污染防治攻坚战</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45</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（二）筑牢美丽清河生态底色</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46</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（三）推动生产生活绿色循环低碳发展</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46</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distribute"/>
        <w:textAlignment w:val="auto"/>
        <w:rPr>
          <w:rFonts w:hint="eastAsia" w:ascii="楷体_GB2312" w:hAnsi="楷体_GB2312" w:eastAsia="楷体_GB2312" w:cs="楷体_GB2312"/>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sz w:val="24"/>
          <w:szCs w:val="24"/>
          <w14:textFill>
            <w14:solidFill>
              <w14:schemeClr w14:val="tx1"/>
            </w14:solidFill>
          </w14:textFill>
        </w:rPr>
        <w:t>八、聚焦民生改善，释放高质量赶超发展新红利</w:t>
      </w: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w:t>
      </w:r>
      <w:r>
        <w:rPr>
          <w:rFonts w:hint="eastAsia" w:ascii="楷体_GB2312" w:hAnsi="楷体_GB2312" w:eastAsia="楷体_GB2312" w:cs="楷体_GB2312"/>
          <w:color w:val="000000" w:themeColor="text1"/>
          <w:sz w:val="24"/>
          <w:szCs w:val="24"/>
          <w14:textFill>
            <w14:solidFill>
              <w14:schemeClr w14:val="tx1"/>
            </w14:solidFill>
          </w14:textFill>
        </w:rPr>
        <w:t>47</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（一）巩固拓展脱贫攻坚成果</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47</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（二）实施就业优先政策</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48</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（三）开展全民增收行动</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48</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（四）完善社会保障体系</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49</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（五）办好人民满意教育</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50</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（六）持续繁荣文化事业</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53</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（七）加快健康清河建设</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53</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（八）提升“一老一小”保障能力</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56</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（九）统筹其它各项事业发展</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57</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distribute"/>
        <w:textAlignment w:val="auto"/>
        <w:rPr>
          <w:rFonts w:hint="eastAsia" w:ascii="黑体" w:hAnsi="黑体" w:eastAsia="黑体"/>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sz w:val="24"/>
          <w:szCs w:val="24"/>
          <w14:textFill>
            <w14:solidFill>
              <w14:schemeClr w14:val="tx1"/>
            </w14:solidFill>
          </w14:textFill>
        </w:rPr>
        <w:t>九、强化社会治理，筑牢高质量赶超发展护城河</w:t>
      </w: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w:t>
      </w:r>
      <w:r>
        <w:rPr>
          <w:rFonts w:hint="eastAsia" w:ascii="楷体_GB2312" w:hAnsi="楷体_GB2312" w:eastAsia="楷体_GB2312" w:cs="楷体_GB2312"/>
          <w:color w:val="000000" w:themeColor="text1"/>
          <w:sz w:val="24"/>
          <w:szCs w:val="24"/>
          <w14:textFill>
            <w14:solidFill>
              <w14:schemeClr w14:val="tx1"/>
            </w14:solidFill>
          </w14:textFill>
        </w:rPr>
        <w:t>57</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（一）坚持总体国家安全观</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57</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（二）推进法治清河建设</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58</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（三）加强政府自身建设</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58</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（四）加快社会治理现代化</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59</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（五）维护社会稳定</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59</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（六）保障人民安全</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60</w:t>
      </w:r>
    </w:p>
    <w:p>
      <w:pPr>
        <w:keepNext w:val="0"/>
        <w:keepLines w:val="0"/>
        <w:pageBreakBefore w:val="0"/>
        <w:widowControl w:val="0"/>
        <w:kinsoku/>
        <w:wordWrap/>
        <w:overflowPunct/>
        <w:topLinePunct w:val="0"/>
        <w:autoSpaceDE/>
        <w:autoSpaceDN/>
        <w:bidi w:val="0"/>
        <w:adjustRightInd/>
        <w:snapToGrid/>
        <w:spacing w:line="480" w:lineRule="exact"/>
        <w:ind w:firstLine="240" w:firstLineChars="100"/>
        <w:jc w:val="distribute"/>
        <w:textAlignment w:val="auto"/>
        <w:rPr>
          <w:rFonts w:hint="eastAsia" w:ascii="黑体" w:hAnsi="黑体" w:eastAsia="黑体"/>
          <w:color w:val="000000" w:themeColor="text1"/>
          <w:sz w:val="24"/>
          <w:szCs w:val="24"/>
          <w:lang w:eastAsia="zh-CN"/>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第六章  “十四五”时期规划落实的保障措施</w:t>
      </w:r>
      <w:r>
        <w:rPr>
          <w:rFonts w:hint="eastAsia" w:ascii="黑体" w:hAnsi="黑体" w:eastAsia="黑体"/>
          <w:color w:val="000000" w:themeColor="text1"/>
          <w:sz w:val="24"/>
          <w:szCs w:val="24"/>
          <w:lang w:val="en-US" w:eastAsia="zh-CN"/>
          <w14:textFill>
            <w14:solidFill>
              <w14:schemeClr w14:val="tx1"/>
            </w14:solidFill>
          </w14:textFill>
        </w:rPr>
        <w:t>………………………………………</w:t>
      </w:r>
      <w:r>
        <w:rPr>
          <w:rFonts w:hint="eastAsia" w:ascii="黑体" w:hAnsi="黑体" w:eastAsia="黑体"/>
          <w:color w:val="000000" w:themeColor="text1"/>
          <w:sz w:val="24"/>
          <w:szCs w:val="24"/>
          <w14:textFill>
            <w14:solidFill>
              <w14:schemeClr w14:val="tx1"/>
            </w14:solidFill>
          </w14:textFill>
        </w:rPr>
        <w:t>6</w:t>
      </w:r>
      <w:r>
        <w:rPr>
          <w:rFonts w:hint="eastAsia" w:ascii="黑体" w:hAnsi="黑体" w:eastAsia="黑体"/>
          <w:color w:val="000000" w:themeColor="text1"/>
          <w:sz w:val="24"/>
          <w:szCs w:val="24"/>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distribute"/>
        <w:textAlignment w:val="auto"/>
        <w:rPr>
          <w:rFonts w:hint="eastAsia" w:ascii="楷体_GB2312" w:hAnsi="楷体_GB2312" w:eastAsia="楷体_GB2312" w:cs="楷体_GB2312"/>
          <w:color w:val="000000" w:themeColor="text1"/>
          <w:sz w:val="24"/>
          <w:szCs w:val="24"/>
          <w:lang w:eastAsia="zh-CN"/>
          <w14:textFill>
            <w14:solidFill>
              <w14:schemeClr w14:val="tx1"/>
            </w14:solidFill>
          </w14:textFill>
        </w:rPr>
      </w:pPr>
      <w:r>
        <w:rPr>
          <w:rFonts w:hint="eastAsia" w:ascii="楷体_GB2312" w:hAnsi="楷体_GB2312" w:eastAsia="楷体_GB2312" w:cs="楷体_GB2312"/>
          <w:color w:val="000000" w:themeColor="text1"/>
          <w:sz w:val="24"/>
          <w:szCs w:val="24"/>
          <w14:textFill>
            <w14:solidFill>
              <w14:schemeClr w14:val="tx1"/>
            </w14:solidFill>
          </w14:textFill>
        </w:rPr>
        <w:t>一、明确责任主体推进机制</w:t>
      </w: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w:t>
      </w:r>
      <w:r>
        <w:rPr>
          <w:rFonts w:hint="eastAsia" w:ascii="楷体_GB2312" w:hAnsi="楷体_GB2312" w:eastAsia="楷体_GB2312" w:cs="楷体_GB2312"/>
          <w:color w:val="000000" w:themeColor="text1"/>
          <w:sz w:val="24"/>
          <w:szCs w:val="24"/>
          <w14:textFill>
            <w14:solidFill>
              <w14:schemeClr w14:val="tx1"/>
            </w14:solidFill>
          </w14:textFill>
        </w:rPr>
        <w:t>6</w:t>
      </w: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（一）明确目标任务分工</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6</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（二）建立责任推进机制</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6</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distribute"/>
        <w:textAlignment w:val="auto"/>
        <w:rPr>
          <w:rFonts w:hint="eastAsia" w:ascii="楷体_GB2312" w:hAnsi="楷体_GB2312" w:eastAsia="楷体_GB2312" w:cs="楷体_GB2312"/>
          <w:color w:val="000000" w:themeColor="text1"/>
          <w:sz w:val="24"/>
          <w:szCs w:val="24"/>
          <w:lang w:eastAsia="zh-CN"/>
          <w14:textFill>
            <w14:solidFill>
              <w14:schemeClr w14:val="tx1"/>
            </w14:solidFill>
          </w14:textFill>
        </w:rPr>
      </w:pPr>
      <w:r>
        <w:rPr>
          <w:rFonts w:hint="eastAsia" w:ascii="楷体_GB2312" w:hAnsi="楷体_GB2312" w:eastAsia="楷体_GB2312" w:cs="楷体_GB2312"/>
          <w:color w:val="000000" w:themeColor="text1"/>
          <w:sz w:val="24"/>
          <w:szCs w:val="24"/>
          <w14:textFill>
            <w14:solidFill>
              <w14:schemeClr w14:val="tx1"/>
            </w14:solidFill>
          </w14:textFill>
        </w:rPr>
        <w:t>二、健全相互衔接的规划体系</w:t>
      </w: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w:t>
      </w:r>
      <w:r>
        <w:rPr>
          <w:rFonts w:hint="eastAsia" w:ascii="楷体_GB2312" w:hAnsi="楷体_GB2312" w:eastAsia="楷体_GB2312" w:cs="楷体_GB2312"/>
          <w:color w:val="000000" w:themeColor="text1"/>
          <w:sz w:val="24"/>
          <w:szCs w:val="24"/>
          <w14:textFill>
            <w14:solidFill>
              <w14:schemeClr w14:val="tx1"/>
            </w14:solidFill>
          </w14:textFill>
        </w:rPr>
        <w:t>6</w:t>
      </w: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（一）健全规划体系</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6</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（二）</w:t>
      </w:r>
      <w:r>
        <w:rPr>
          <w:rFonts w:hint="eastAsia" w:ascii="仿宋_GB2312" w:hAnsi="仿宋_GB2312" w:eastAsia="仿宋_GB2312" w:cs="仿宋_GB2312"/>
          <w:color w:val="000000" w:themeColor="text1"/>
          <w:sz w:val="24"/>
          <w:szCs w:val="24"/>
          <w:lang w:eastAsia="zh-CN"/>
          <w14:textFill>
            <w14:solidFill>
              <w14:schemeClr w14:val="tx1"/>
            </w14:solidFill>
          </w14:textFill>
        </w:rPr>
        <w:t>编制</w:t>
      </w:r>
      <w:r>
        <w:rPr>
          <w:rFonts w:hint="eastAsia" w:ascii="仿宋_GB2312" w:hAnsi="仿宋_GB2312" w:eastAsia="仿宋_GB2312" w:cs="仿宋_GB2312"/>
          <w:color w:val="000000" w:themeColor="text1"/>
          <w:sz w:val="24"/>
          <w:szCs w:val="24"/>
          <w14:textFill>
            <w14:solidFill>
              <w14:schemeClr w14:val="tx1"/>
            </w14:solidFill>
          </w14:textFill>
        </w:rPr>
        <w:t>专项规划</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6</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（三）纳入年度计划</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6</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distribute"/>
        <w:textAlignment w:val="auto"/>
        <w:rPr>
          <w:rFonts w:hint="eastAsia" w:ascii="楷体_GB2312" w:hAnsi="楷体_GB2312" w:eastAsia="楷体_GB2312" w:cs="楷体_GB2312"/>
          <w:color w:val="000000" w:themeColor="text1"/>
          <w:sz w:val="24"/>
          <w:szCs w:val="24"/>
          <w:lang w:eastAsia="zh-CN"/>
          <w14:textFill>
            <w14:solidFill>
              <w14:schemeClr w14:val="tx1"/>
            </w14:solidFill>
          </w14:textFill>
        </w:rPr>
      </w:pPr>
      <w:r>
        <w:rPr>
          <w:rFonts w:hint="eastAsia" w:ascii="楷体_GB2312" w:hAnsi="楷体_GB2312" w:eastAsia="楷体_GB2312" w:cs="楷体_GB2312"/>
          <w:color w:val="000000" w:themeColor="text1"/>
          <w:sz w:val="24"/>
          <w:szCs w:val="24"/>
          <w14:textFill>
            <w14:solidFill>
              <w14:schemeClr w14:val="tx1"/>
            </w14:solidFill>
          </w14:textFill>
        </w:rPr>
        <w:t>三、强化实施监测评估</w:t>
      </w: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w:t>
      </w:r>
      <w:r>
        <w:rPr>
          <w:rFonts w:hint="eastAsia" w:ascii="楷体_GB2312" w:hAnsi="楷体_GB2312" w:eastAsia="楷体_GB2312" w:cs="楷体_GB2312"/>
          <w:color w:val="000000" w:themeColor="text1"/>
          <w:sz w:val="24"/>
          <w:szCs w:val="24"/>
          <w14:textFill>
            <w14:solidFill>
              <w14:schemeClr w14:val="tx1"/>
            </w14:solidFill>
          </w14:textFill>
        </w:rPr>
        <w:t>6</w:t>
      </w: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（一）加强动态监测分析</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6</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（二）建立年度监测评估机制</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6</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（三）完善中期终期评估机制</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6</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（四）健全动态调整修订机制</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6</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distribute"/>
        <w:textAlignment w:val="auto"/>
        <w:rPr>
          <w:rFonts w:hint="eastAsia" w:ascii="楷体_GB2312" w:hAnsi="楷体_GB2312" w:eastAsia="楷体_GB2312" w:cs="楷体_GB2312"/>
          <w:color w:val="000000" w:themeColor="text1"/>
          <w:sz w:val="24"/>
          <w:szCs w:val="24"/>
          <w:lang w:eastAsia="zh-CN"/>
          <w14:textFill>
            <w14:solidFill>
              <w14:schemeClr w14:val="tx1"/>
            </w14:solidFill>
          </w14:textFill>
        </w:rPr>
      </w:pPr>
      <w:r>
        <w:rPr>
          <w:rFonts w:hint="eastAsia" w:ascii="楷体_GB2312" w:hAnsi="楷体_GB2312" w:eastAsia="楷体_GB2312" w:cs="楷体_GB2312"/>
          <w:color w:val="000000" w:themeColor="text1"/>
          <w:sz w:val="24"/>
          <w:szCs w:val="24"/>
          <w14:textFill>
            <w14:solidFill>
              <w14:schemeClr w14:val="tx1"/>
            </w14:solidFill>
          </w14:textFill>
        </w:rPr>
        <w:t>四、完善监督考核机制</w:t>
      </w: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w:t>
      </w:r>
      <w:r>
        <w:rPr>
          <w:rFonts w:hint="eastAsia" w:ascii="楷体_GB2312" w:hAnsi="楷体_GB2312" w:eastAsia="楷体_GB2312" w:cs="楷体_GB2312"/>
          <w:color w:val="000000" w:themeColor="text1"/>
          <w:sz w:val="24"/>
          <w:szCs w:val="24"/>
          <w14:textFill>
            <w14:solidFill>
              <w14:schemeClr w14:val="tx1"/>
            </w14:solidFill>
          </w14:textFill>
        </w:rPr>
        <w:t>6</w:t>
      </w: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3</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（一）服从党和国家的监督管理</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6</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（二）强化人大监督作用</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6</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（三）完善社会监督机制</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6</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distribute"/>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（四）加强规划实施考核评价</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6</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p>
    <w:p>
      <w:pPr>
        <w:rPr>
          <w:rFonts w:ascii="宋体" w:hAnsi="宋体" w:eastAsia="宋体" w:cs="宋体"/>
          <w:color w:val="000000" w:themeColor="text1"/>
          <w:sz w:val="36"/>
          <w:szCs w:val="20"/>
          <w14:textFill>
            <w14:solidFill>
              <w14:schemeClr w14:val="tx1"/>
            </w14:solidFill>
          </w14:textFill>
        </w:rPr>
      </w:pPr>
    </w:p>
    <w:p>
      <w:pPr>
        <w:sectPr>
          <w:footerReference r:id="rId8" w:type="default"/>
          <w:pgSz w:w="11906" w:h="16838"/>
          <w:pgMar w:top="1984" w:right="1531" w:bottom="1701" w:left="1531" w:header="851" w:footer="1247" w:gutter="0"/>
          <w:pgNumType w:fmt="numberInDash" w:start="1"/>
          <w:cols w:space="0" w:num="1"/>
          <w:docGrid w:type="lines" w:linePitch="312" w:charSpace="0"/>
        </w:sectPr>
      </w:pPr>
    </w:p>
    <w:p>
      <w:pPr>
        <w:pStyle w:val="4"/>
        <w:keepNext w:val="0"/>
        <w:keepLines w:val="0"/>
        <w:pageBreakBefore w:val="0"/>
        <w:widowControl w:val="0"/>
        <w:numPr>
          <w:ilvl w:val="0"/>
          <w:numId w:val="1"/>
        </w:numPr>
        <w:kinsoku/>
        <w:wordWrap/>
        <w:overflowPunct/>
        <w:topLinePunct w:val="0"/>
        <w:autoSpaceDE/>
        <w:autoSpaceDN/>
        <w:bidi w:val="0"/>
        <w:spacing w:before="0" w:after="0" w:line="560" w:lineRule="exact"/>
        <w:jc w:val="center"/>
        <w:textAlignment w:val="auto"/>
        <w:rPr>
          <w:rFonts w:ascii="宋体" w:hAnsi="宋体" w:eastAsia="宋体" w:cs="宋体"/>
          <w:color w:val="000000" w:themeColor="text1"/>
          <w:sz w:val="36"/>
          <w:szCs w:val="20"/>
          <w14:textFill>
            <w14:solidFill>
              <w14:schemeClr w14:val="tx1"/>
            </w14:solidFill>
          </w14:textFill>
        </w:rPr>
      </w:pPr>
      <w:r>
        <w:rPr>
          <w:rFonts w:hint="eastAsia" w:ascii="宋体" w:hAnsi="宋体" w:eastAsia="宋体" w:cs="宋体"/>
          <w:color w:val="000000" w:themeColor="text1"/>
          <w:sz w:val="36"/>
          <w:szCs w:val="20"/>
          <w14:textFill>
            <w14:solidFill>
              <w14:schemeClr w14:val="tx1"/>
            </w14:solidFill>
          </w14:textFill>
        </w:rPr>
        <w:t xml:space="preserve"> </w:t>
      </w:r>
      <w:bookmarkStart w:id="16" w:name="_Toc8104"/>
      <w:r>
        <w:rPr>
          <w:rFonts w:hint="eastAsia" w:ascii="宋体" w:hAnsi="宋体" w:eastAsia="宋体" w:cs="宋体"/>
          <w:color w:val="000000" w:themeColor="text1"/>
          <w:sz w:val="36"/>
          <w:szCs w:val="20"/>
          <w14:textFill>
            <w14:solidFill>
              <w14:schemeClr w14:val="tx1"/>
            </w14:solidFill>
          </w14:textFill>
        </w:rPr>
        <w:t>“十三五”时期清河县</w:t>
      </w:r>
      <w:bookmarkStart w:id="17" w:name="_Toc16241"/>
      <w:r>
        <w:rPr>
          <w:rFonts w:hint="eastAsia" w:ascii="宋体" w:hAnsi="宋体" w:eastAsia="宋体" w:cs="宋体"/>
          <w:color w:val="000000" w:themeColor="text1"/>
          <w:sz w:val="36"/>
          <w:szCs w:val="20"/>
          <w14:textFill>
            <w14:solidFill>
              <w14:schemeClr w14:val="tx1"/>
            </w14:solidFill>
          </w14:textFill>
        </w:rPr>
        <w:t>全面建成</w:t>
      </w:r>
      <w:bookmarkEnd w:id="16"/>
    </w:p>
    <w:p>
      <w:pPr>
        <w:pStyle w:val="4"/>
        <w:keepNext w:val="0"/>
        <w:keepLines w:val="0"/>
        <w:pageBreakBefore w:val="0"/>
        <w:widowControl w:val="0"/>
        <w:kinsoku/>
        <w:wordWrap/>
        <w:overflowPunct/>
        <w:topLinePunct w:val="0"/>
        <w:autoSpaceDE/>
        <w:autoSpaceDN/>
        <w:bidi w:val="0"/>
        <w:spacing w:before="0" w:after="0" w:line="560" w:lineRule="exact"/>
        <w:jc w:val="center"/>
        <w:textAlignment w:val="auto"/>
        <w:rPr>
          <w:rFonts w:ascii="宋体" w:hAnsi="宋体" w:eastAsia="宋体" w:cs="宋体"/>
          <w:color w:val="000000" w:themeColor="text1"/>
          <w:sz w:val="36"/>
          <w:szCs w:val="20"/>
          <w14:textFill>
            <w14:solidFill>
              <w14:schemeClr w14:val="tx1"/>
            </w14:solidFill>
          </w14:textFill>
        </w:rPr>
      </w:pPr>
      <w:bookmarkStart w:id="18" w:name="_Toc7725"/>
      <w:bookmarkStart w:id="19" w:name="_Toc5464"/>
      <w:bookmarkStart w:id="20" w:name="_Toc23364"/>
      <w:bookmarkStart w:id="21" w:name="_Toc9958"/>
      <w:bookmarkStart w:id="22" w:name="_Toc11482"/>
      <w:bookmarkStart w:id="23" w:name="_Toc18909"/>
      <w:r>
        <w:rPr>
          <w:rFonts w:hint="eastAsia" w:ascii="宋体" w:hAnsi="宋体" w:eastAsia="宋体" w:cs="宋体"/>
          <w:color w:val="000000" w:themeColor="text1"/>
          <w:sz w:val="36"/>
          <w:szCs w:val="20"/>
          <w14:textFill>
            <w14:solidFill>
              <w14:schemeClr w14:val="tx1"/>
            </w14:solidFill>
          </w14:textFill>
        </w:rPr>
        <w:t>小康社会取得的决定性成就</w:t>
      </w:r>
      <w:bookmarkEnd w:id="13"/>
      <w:bookmarkEnd w:id="14"/>
      <w:bookmarkEnd w:id="17"/>
      <w:bookmarkEnd w:id="18"/>
      <w:bookmarkEnd w:id="19"/>
      <w:bookmarkEnd w:id="20"/>
      <w:bookmarkEnd w:id="21"/>
      <w:bookmarkEnd w:id="22"/>
      <w:bookmarkEnd w:id="23"/>
    </w:p>
    <w:p>
      <w:pPr>
        <w:keepNext w:val="0"/>
        <w:keepLines w:val="0"/>
        <w:pageBreakBefore w:val="0"/>
        <w:widowControl w:val="0"/>
        <w:kinsoku/>
        <w:wordWrap/>
        <w:overflowPunct/>
        <w:topLinePunct w:val="0"/>
        <w:autoSpaceDE/>
        <w:autoSpaceDN/>
        <w:bidi w:val="0"/>
        <w:spacing w:line="440" w:lineRule="exact"/>
        <w:textAlignment w:val="auto"/>
        <w:rPr>
          <w:color w:val="000000" w:themeColor="text1"/>
          <w14:textFill>
            <w14:solidFill>
              <w14:schemeClr w14:val="tx1"/>
            </w14:solidFill>
          </w14:textFill>
        </w:rPr>
      </w:pPr>
    </w:p>
    <w:bookmarkEnd w:id="15"/>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十三五”时期，是我县发展历程中极其不平凡的五年。五年来，县委、县政府团结和带领全县人民，在以习近平同志为核心的党中央坚强领导下，在省委、省政府、市委、市政府的正确领导下，认真贯彻落实党的十九大和十九届二中、三中、四中、五中全会精神，坚持以党的领导统领全局，坚定不移落实新发展理念，坚持稳中求进，积极应对各种风险挑战，严格按照“经济强县，美丽清河”的发展定位，坚持“创新驱动”发展战略，全县上下“不忘初心、牢记使命”，主动作为、激情担当，不断解放思想，深化改革开放，全力推动创新发展、绿色发展、高质量赶超发展，圆满完成了“十三五”规划的主要目标任务，如期实现全面建成小康社会目标，为“十四五”开启</w:t>
      </w:r>
      <w:bookmarkStart w:id="330" w:name="_GoBack"/>
      <w:bookmarkEnd w:id="330"/>
      <w:r>
        <w:rPr>
          <w:rFonts w:hint="eastAsia" w:ascii="Times New Roman" w:hAnsi="Times New Roman" w:eastAsia="仿宋_GB2312" w:cs="Times New Roman"/>
          <w:color w:val="000000" w:themeColor="text1"/>
          <w:sz w:val="28"/>
          <w:szCs w:val="28"/>
          <w:lang w:eastAsia="zh-CN"/>
          <w14:textFill>
            <w14:solidFill>
              <w14:schemeClr w14:val="tx1"/>
            </w14:solidFill>
          </w14:textFill>
        </w:rPr>
        <w:t>全面建设社会主义现代化国家新征程</w:t>
      </w:r>
      <w:r>
        <w:rPr>
          <w:rFonts w:hint="eastAsia" w:ascii="Times New Roman" w:hAnsi="Times New Roman" w:eastAsia="仿宋_GB2312" w:cs="Times New Roman"/>
          <w:color w:val="000000" w:themeColor="text1"/>
          <w:sz w:val="28"/>
          <w:szCs w:val="28"/>
          <w14:textFill>
            <w14:solidFill>
              <w14:schemeClr w14:val="tx1"/>
            </w14:solidFill>
          </w14:textFill>
        </w:rPr>
        <w:t>奠定了坚实基础。</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ascii="黑体" w:hAnsi="黑体" w:eastAsia="黑体"/>
          <w:b w:val="0"/>
          <w:bCs w:val="0"/>
          <w:color w:val="000000" w:themeColor="text1"/>
          <w:sz w:val="28"/>
          <w:szCs w:val="28"/>
          <w14:textFill>
            <w14:solidFill>
              <w14:schemeClr w14:val="tx1"/>
            </w14:solidFill>
          </w14:textFill>
        </w:rPr>
      </w:pPr>
      <w:bookmarkStart w:id="24" w:name="_Toc6594"/>
      <w:bookmarkStart w:id="25" w:name="_Toc21568"/>
      <w:bookmarkStart w:id="26" w:name="_Toc29203"/>
      <w:r>
        <w:rPr>
          <w:rFonts w:hint="eastAsia" w:ascii="黑体" w:hAnsi="黑体" w:eastAsia="黑体"/>
          <w:b w:val="0"/>
          <w:bCs w:val="0"/>
          <w:color w:val="000000" w:themeColor="text1"/>
          <w:sz w:val="28"/>
          <w:szCs w:val="28"/>
          <w14:textFill>
            <w14:solidFill>
              <w14:schemeClr w14:val="tx1"/>
            </w14:solidFill>
          </w14:textFill>
        </w:rPr>
        <w:t>一、综合实力</w:t>
      </w:r>
      <w:bookmarkEnd w:id="24"/>
      <w:bookmarkEnd w:id="25"/>
      <w:r>
        <w:rPr>
          <w:rFonts w:hint="eastAsia" w:ascii="黑体" w:hAnsi="黑体" w:eastAsia="黑体"/>
          <w:b w:val="0"/>
          <w:bCs w:val="0"/>
          <w:color w:val="000000" w:themeColor="text1"/>
          <w:sz w:val="28"/>
          <w:szCs w:val="28"/>
          <w14:textFill>
            <w14:solidFill>
              <w14:schemeClr w14:val="tx1"/>
            </w14:solidFill>
          </w14:textFill>
        </w:rPr>
        <w:t>跃上新台阶，提前实现两个翻番</w:t>
      </w:r>
      <w:bookmarkEnd w:id="26"/>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十三五”期间，全县经济发展保持较快增长态势，主要经济指标增幅均高于全市各县（市、区）平均水平，全县综合实力迈上新台阶。2020年，全县生产总值完成147.7亿元，实现年均增长6.7%；城镇居民人均可支配收入达</w:t>
      </w:r>
      <w:r>
        <w:rPr>
          <w:rFonts w:ascii="仿宋_GB2312" w:hAnsi="仿宋_GB2312" w:eastAsia="仿宋_GB2312" w:cs="仿宋_GB2312"/>
          <w:color w:val="000000" w:themeColor="text1"/>
          <w:sz w:val="28"/>
          <w:szCs w:val="28"/>
          <w14:textFill>
            <w14:solidFill>
              <w14:schemeClr w14:val="tx1"/>
            </w14:solidFill>
          </w14:textFill>
        </w:rPr>
        <w:t>33919</w:t>
      </w:r>
      <w:r>
        <w:rPr>
          <w:rFonts w:hint="eastAsia" w:ascii="仿宋_GB2312" w:hAnsi="仿宋_GB2312" w:eastAsia="仿宋_GB2312" w:cs="仿宋_GB2312"/>
          <w:color w:val="000000" w:themeColor="text1"/>
          <w:sz w:val="28"/>
          <w:szCs w:val="28"/>
          <w14:textFill>
            <w14:solidFill>
              <w14:schemeClr w14:val="tx1"/>
            </w14:solidFill>
          </w14:textFill>
        </w:rPr>
        <w:t>元，农村居民人均可支配收入达1</w:t>
      </w:r>
      <w:r>
        <w:rPr>
          <w:rFonts w:ascii="仿宋_GB2312" w:hAnsi="仿宋_GB2312" w:eastAsia="仿宋_GB2312" w:cs="仿宋_GB2312"/>
          <w:color w:val="000000" w:themeColor="text1"/>
          <w:sz w:val="28"/>
          <w:szCs w:val="28"/>
          <w14:textFill>
            <w14:solidFill>
              <w14:schemeClr w14:val="tx1"/>
            </w14:solidFill>
          </w14:textFill>
        </w:rPr>
        <w:t>8213</w:t>
      </w:r>
      <w:r>
        <w:rPr>
          <w:rFonts w:hint="eastAsia" w:ascii="仿宋_GB2312" w:hAnsi="仿宋_GB2312" w:eastAsia="仿宋_GB2312" w:cs="仿宋_GB2312"/>
          <w:color w:val="000000" w:themeColor="text1"/>
          <w:sz w:val="28"/>
          <w:szCs w:val="28"/>
          <w14:textFill>
            <w14:solidFill>
              <w14:schemeClr w14:val="tx1"/>
            </w14:solidFill>
          </w14:textFill>
        </w:rPr>
        <w:t>元，相比上年分别增长</w:t>
      </w:r>
      <w:r>
        <w:rPr>
          <w:rFonts w:ascii="仿宋_GB2312" w:hAnsi="仿宋_GB2312" w:eastAsia="仿宋_GB2312" w:cs="仿宋_GB2312"/>
          <w:color w:val="000000" w:themeColor="text1"/>
          <w:sz w:val="28"/>
          <w:szCs w:val="28"/>
          <w14:textFill>
            <w14:solidFill>
              <w14:schemeClr w14:val="tx1"/>
            </w14:solidFill>
          </w14:textFill>
        </w:rPr>
        <w:t>4.3</w:t>
      </w:r>
      <w:r>
        <w:rPr>
          <w:rFonts w:hint="eastAsia" w:ascii="仿宋_GB2312" w:hAnsi="仿宋_GB2312" w:eastAsia="仿宋_GB2312" w:cs="仿宋_GB2312"/>
          <w:color w:val="000000" w:themeColor="text1"/>
          <w:sz w:val="28"/>
          <w:szCs w:val="28"/>
          <w14:textFill>
            <w14:solidFill>
              <w14:schemeClr w14:val="tx1"/>
            </w14:solidFill>
          </w14:textFill>
        </w:rPr>
        <w:t>%和</w:t>
      </w:r>
      <w:r>
        <w:rPr>
          <w:rFonts w:ascii="仿宋_GB2312" w:hAnsi="仿宋_GB2312" w:eastAsia="仿宋_GB2312" w:cs="仿宋_GB2312"/>
          <w:color w:val="000000" w:themeColor="text1"/>
          <w:sz w:val="28"/>
          <w:szCs w:val="28"/>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%，提前一年实现了“两个翻番”小康目标。全部财政收入完成16.8亿元，其中公共财政预算收入完成10.4亿元，是2015年的1.54倍和1.84倍，分别实现年均增长9%和12.95%。</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ascii="黑体" w:hAnsi="黑体" w:eastAsia="黑体"/>
          <w:b w:val="0"/>
          <w:bCs w:val="0"/>
          <w:color w:val="000000" w:themeColor="text1"/>
          <w:sz w:val="28"/>
          <w:szCs w:val="28"/>
          <w14:textFill>
            <w14:solidFill>
              <w14:schemeClr w14:val="tx1"/>
            </w14:solidFill>
          </w14:textFill>
        </w:rPr>
      </w:pPr>
      <w:bookmarkStart w:id="27" w:name="_Toc7180"/>
      <w:bookmarkStart w:id="28" w:name="_Toc16548"/>
      <w:bookmarkStart w:id="29" w:name="_Toc17061"/>
      <w:r>
        <w:rPr>
          <w:rFonts w:hint="eastAsia" w:ascii="黑体" w:hAnsi="黑体" w:eastAsia="黑体"/>
          <w:b w:val="0"/>
          <w:bCs w:val="0"/>
          <w:color w:val="000000" w:themeColor="text1"/>
          <w:sz w:val="28"/>
          <w:szCs w:val="28"/>
          <w14:textFill>
            <w14:solidFill>
              <w14:schemeClr w14:val="tx1"/>
            </w14:solidFill>
          </w14:textFill>
        </w:rPr>
        <w:t>二、产业体系持续优化</w:t>
      </w:r>
      <w:bookmarkEnd w:id="27"/>
      <w:bookmarkEnd w:id="28"/>
      <w:r>
        <w:rPr>
          <w:rFonts w:hint="eastAsia" w:ascii="黑体" w:hAnsi="黑体" w:eastAsia="黑体"/>
          <w:b w:val="0"/>
          <w:bCs w:val="0"/>
          <w:color w:val="000000" w:themeColor="text1"/>
          <w:sz w:val="28"/>
          <w:szCs w:val="28"/>
          <w14:textFill>
            <w14:solidFill>
              <w14:schemeClr w14:val="tx1"/>
            </w14:solidFill>
          </w14:textFill>
        </w:rPr>
        <w:t>，发展动力更加强劲</w:t>
      </w:r>
      <w:bookmarkEnd w:id="29"/>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“十三五”期间，全县坚持创新驱动、转型升级，产业体系不断巩固壮大和优化提升，三次产业结构比例由2015年的</w:t>
      </w:r>
      <w:r>
        <w:rPr>
          <w:rFonts w:ascii="仿宋_GB2312" w:hAnsi="仿宋_GB2312" w:eastAsia="仿宋_GB2312" w:cs="仿宋_GB2312"/>
          <w:color w:val="000000" w:themeColor="text1"/>
          <w:sz w:val="28"/>
          <w:szCs w:val="28"/>
          <w14:textFill>
            <w14:solidFill>
              <w14:schemeClr w14:val="tx1"/>
            </w14:solidFill>
          </w14:textFill>
        </w:rPr>
        <w:t>7</w:t>
      </w:r>
      <w:r>
        <w:rPr>
          <w:rFonts w:hint="eastAsia" w:ascii="仿宋_GB2312" w:hAnsi="仿宋_GB2312" w:eastAsia="仿宋_GB2312" w:cs="仿宋_GB2312"/>
          <w:color w:val="000000" w:themeColor="text1"/>
          <w:sz w:val="28"/>
          <w:szCs w:val="28"/>
          <w14:textFill>
            <w14:solidFill>
              <w14:schemeClr w14:val="tx1"/>
            </w14:solidFill>
          </w14:textFill>
        </w:rPr>
        <w:t>.4:4</w:t>
      </w:r>
      <w:r>
        <w:rPr>
          <w:rFonts w:ascii="仿宋_GB2312" w:hAnsi="仿宋_GB2312" w:eastAsia="仿宋_GB2312" w:cs="仿宋_GB2312"/>
          <w:color w:val="000000" w:themeColor="text1"/>
          <w:sz w:val="28"/>
          <w:szCs w:val="28"/>
          <w14:textFill>
            <w14:solidFill>
              <w14:schemeClr w14:val="tx1"/>
            </w14:solidFill>
          </w14:textFill>
        </w:rPr>
        <w:t>6.1</w:t>
      </w:r>
      <w:r>
        <w:rPr>
          <w:rFonts w:hint="eastAsia" w:ascii="仿宋_GB2312" w:hAnsi="仿宋_GB2312" w:eastAsia="仿宋_GB2312" w:cs="仿宋_GB2312"/>
          <w:color w:val="000000" w:themeColor="text1"/>
          <w:sz w:val="28"/>
          <w:szCs w:val="28"/>
          <w14:textFill>
            <w14:solidFill>
              <w14:schemeClr w14:val="tx1"/>
            </w14:solidFill>
          </w14:textFill>
        </w:rPr>
        <w:t>:4</w:t>
      </w:r>
      <w:r>
        <w:rPr>
          <w:rFonts w:ascii="仿宋_GB2312" w:hAnsi="仿宋_GB2312" w:eastAsia="仿宋_GB2312" w:cs="仿宋_GB2312"/>
          <w:color w:val="000000" w:themeColor="text1"/>
          <w:sz w:val="28"/>
          <w:szCs w:val="28"/>
          <w14:textFill>
            <w14:solidFill>
              <w14:schemeClr w14:val="tx1"/>
            </w14:solidFill>
          </w14:textFill>
        </w:rPr>
        <w:t>6.5</w:t>
      </w:r>
      <w:r>
        <w:rPr>
          <w:rFonts w:hint="eastAsia" w:ascii="仿宋_GB2312" w:hAnsi="仿宋_GB2312" w:eastAsia="仿宋_GB2312" w:cs="仿宋_GB2312"/>
          <w:color w:val="000000" w:themeColor="text1"/>
          <w:sz w:val="28"/>
          <w:szCs w:val="28"/>
          <w14:textFill>
            <w14:solidFill>
              <w14:schemeClr w14:val="tx1"/>
            </w14:solidFill>
          </w14:textFill>
        </w:rPr>
        <w:t>优化为2</w:t>
      </w:r>
      <w:r>
        <w:rPr>
          <w:rFonts w:ascii="仿宋_GB2312" w:hAnsi="仿宋_GB2312" w:eastAsia="仿宋_GB2312" w:cs="仿宋_GB2312"/>
          <w:color w:val="000000" w:themeColor="text1"/>
          <w:sz w:val="28"/>
          <w:szCs w:val="28"/>
          <w14:textFill>
            <w14:solidFill>
              <w14:schemeClr w14:val="tx1"/>
            </w14:solidFill>
          </w14:textFill>
        </w:rPr>
        <w:t>020</w:t>
      </w:r>
      <w:r>
        <w:rPr>
          <w:rFonts w:hint="eastAsia" w:ascii="仿宋_GB2312" w:hAnsi="仿宋_GB2312" w:eastAsia="仿宋_GB2312" w:cs="仿宋_GB2312"/>
          <w:color w:val="000000" w:themeColor="text1"/>
          <w:sz w:val="28"/>
          <w:szCs w:val="28"/>
          <w14:textFill>
            <w14:solidFill>
              <w14:schemeClr w14:val="tx1"/>
            </w14:solidFill>
          </w14:textFill>
        </w:rPr>
        <w:t>年的4.9:40.9:54.2。</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ascii="楷体_GB2312" w:hAnsi="楷体_GB2312" w:eastAsia="楷体_GB2312" w:cs="楷体_GB2312"/>
          <w:b w:val="0"/>
          <w:bCs w:val="0"/>
          <w:color w:val="000000" w:themeColor="text1"/>
          <w:sz w:val="28"/>
          <w:szCs w:val="28"/>
          <w14:textFill>
            <w14:solidFill>
              <w14:schemeClr w14:val="tx1"/>
            </w14:solidFill>
          </w14:textFill>
        </w:rPr>
      </w:pPr>
      <w:bookmarkStart w:id="30" w:name="_Toc27024"/>
      <w:bookmarkStart w:id="31" w:name="_Toc26567"/>
      <w:bookmarkStart w:id="32" w:name="_Toc17074"/>
      <w:bookmarkStart w:id="33" w:name="_Toc15430"/>
      <w:bookmarkStart w:id="34" w:name="_Toc31809"/>
      <w:bookmarkStart w:id="35" w:name="_Toc25510"/>
      <w:r>
        <w:rPr>
          <w:rFonts w:hint="eastAsia" w:ascii="楷体_GB2312" w:hAnsi="楷体_GB2312" w:eastAsia="楷体_GB2312" w:cs="楷体_GB2312"/>
          <w:b w:val="0"/>
          <w:bCs w:val="0"/>
          <w:color w:val="000000" w:themeColor="text1"/>
          <w:sz w:val="28"/>
          <w:szCs w:val="28"/>
          <w14:textFill>
            <w14:solidFill>
              <w14:schemeClr w14:val="tx1"/>
            </w14:solidFill>
          </w14:textFill>
        </w:rPr>
        <w:t>（一）农业生产持续增效</w:t>
      </w:r>
      <w:bookmarkEnd w:id="30"/>
      <w:bookmarkEnd w:id="31"/>
      <w:bookmarkEnd w:id="32"/>
      <w:bookmarkEnd w:id="33"/>
      <w:bookmarkEnd w:id="34"/>
      <w:bookmarkEnd w:id="35"/>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扎实推进农业供给侧结构性改革，着力稳定粮食综合能力及农产品生产。</w:t>
      </w:r>
      <w:r>
        <w:rPr>
          <w:rFonts w:hint="eastAsia" w:ascii="仿宋_GB2312" w:hAnsi="仿宋_GB2312" w:eastAsia="仿宋_GB2312" w:cs="仿宋_GB2312"/>
          <w:b/>
          <w:bCs/>
          <w:color w:val="000000" w:themeColor="text1"/>
          <w:sz w:val="28"/>
          <w:szCs w:val="28"/>
          <w14:textFill>
            <w14:solidFill>
              <w14:schemeClr w14:val="tx1"/>
            </w14:solidFill>
          </w14:textFill>
        </w:rPr>
        <w:t>粮食安全得到保障。</w:t>
      </w:r>
      <w:r>
        <w:rPr>
          <w:rFonts w:hint="eastAsia" w:ascii="仿宋_GB2312" w:hAnsi="仿宋_GB2312" w:eastAsia="仿宋_GB2312" w:cs="仿宋_GB2312"/>
          <w:color w:val="000000" w:themeColor="text1"/>
          <w:sz w:val="28"/>
          <w:szCs w:val="28"/>
          <w14:textFill>
            <w14:solidFill>
              <w14:schemeClr w14:val="tx1"/>
            </w14:solidFill>
          </w14:textFill>
        </w:rPr>
        <w:t>完成全县粮食生产功能区划定，狠抓高标准农田和水利设施建设，积极落实“渤海粮仓科技工程”示范推广，加快实施粮食丰产增效科技创新重点专项河北辐射区项目，粮食总产实现连年稳产丰收。2020年，全县粮食总产26.62万吨，比“十二五”期末增长</w:t>
      </w:r>
      <w:r>
        <w:rPr>
          <w:rFonts w:ascii="仿宋_GB2312" w:hAnsi="仿宋_GB2312" w:eastAsia="仿宋_GB2312" w:cs="仿宋_GB2312"/>
          <w:color w:val="000000" w:themeColor="text1"/>
          <w:sz w:val="28"/>
          <w:szCs w:val="28"/>
          <w14:textFill>
            <w14:solidFill>
              <w14:schemeClr w14:val="tx1"/>
            </w14:solidFill>
          </w14:textFill>
        </w:rPr>
        <w:t>2.3</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b/>
          <w:bCs/>
          <w:color w:val="000000" w:themeColor="text1"/>
          <w:sz w:val="28"/>
          <w:szCs w:val="28"/>
          <w14:textFill>
            <w14:solidFill>
              <w14:schemeClr w14:val="tx1"/>
            </w14:solidFill>
          </w14:textFill>
        </w:rPr>
        <w:t>现代农业快速发展。</w:t>
      </w:r>
      <w:r>
        <w:rPr>
          <w:rFonts w:hint="eastAsia" w:ascii="仿宋_GB2312" w:hAnsi="仿宋_GB2312" w:eastAsia="仿宋_GB2312" w:cs="仿宋_GB2312"/>
          <w:color w:val="000000" w:themeColor="text1"/>
          <w:sz w:val="28"/>
          <w:szCs w:val="28"/>
          <w14:textFill>
            <w14:solidFill>
              <w14:schemeClr w14:val="tx1"/>
            </w14:solidFill>
          </w14:textFill>
        </w:rPr>
        <w:t>依托清河县农业资源禀赋和基础优势，完成农村土地确权，土地流转面积达到16.1万亩；创建省级农业园区1家、市级园区4家；获批市级及以上农业产业化重点龙头企业11家，其中省级4家。</w:t>
      </w:r>
      <w:r>
        <w:rPr>
          <w:rFonts w:hint="eastAsia" w:ascii="仿宋_GB2312" w:hAnsi="仿宋_GB2312" w:eastAsia="仿宋_GB2312" w:cs="仿宋_GB2312"/>
          <w:b/>
          <w:bCs/>
          <w:color w:val="000000" w:themeColor="text1"/>
          <w:kern w:val="0"/>
          <w:sz w:val="28"/>
          <w:szCs w:val="28"/>
          <w14:textFill>
            <w14:solidFill>
              <w14:schemeClr w14:val="tx1"/>
            </w14:solidFill>
          </w14:textFill>
        </w:rPr>
        <w:t>特色农业成效显著。</w:t>
      </w:r>
      <w:r>
        <w:rPr>
          <w:rFonts w:hint="eastAsia" w:ascii="仿宋_GB2312" w:hAnsi="仿宋_GB2312" w:eastAsia="仿宋_GB2312" w:cs="仿宋_GB2312"/>
          <w:color w:val="000000" w:themeColor="text1"/>
          <w:sz w:val="28"/>
          <w:szCs w:val="28"/>
          <w14:textFill>
            <w14:solidFill>
              <w14:schemeClr w14:val="tx1"/>
            </w14:solidFill>
          </w14:textFill>
        </w:rPr>
        <w:t>新增“千斤粮、万元钱”特色高效农业面积1.717万亩，现有农民专业合作社544家，其中国家级示范社2家，省级及市级示范社11家。现有家庭农场152家，其中建成省级示范家庭农场9家。新增绿色食品认证2个，涌现出宏望、众客等一批农业特色产品品牌，“清河山楂”获国家地理标志证明商标，并入选河北省特色农产品优势区。</w:t>
      </w:r>
      <w:r>
        <w:rPr>
          <w:rFonts w:hint="eastAsia" w:ascii="仿宋_GB2312" w:hAnsi="仿宋_GB2312" w:eastAsia="仿宋_GB2312" w:cs="仿宋_GB2312"/>
          <w:b/>
          <w:bCs/>
          <w:color w:val="000000" w:themeColor="text1"/>
          <w:sz w:val="28"/>
          <w:szCs w:val="28"/>
          <w14:textFill>
            <w14:solidFill>
              <w14:schemeClr w14:val="tx1"/>
            </w14:solidFill>
          </w14:textFill>
        </w:rPr>
        <w:t>农业机械化全覆盖。</w:t>
      </w:r>
      <w:r>
        <w:rPr>
          <w:rFonts w:hint="eastAsia" w:ascii="仿宋_GB2312" w:hAnsi="仿宋_GB2312" w:eastAsia="仿宋_GB2312" w:cs="仿宋_GB2312"/>
          <w:color w:val="000000" w:themeColor="text1"/>
          <w:sz w:val="28"/>
          <w:szCs w:val="28"/>
          <w14:textFill>
            <w14:solidFill>
              <w14:schemeClr w14:val="tx1"/>
            </w14:solidFill>
          </w14:textFill>
        </w:rPr>
        <w:t>全县实现主要农作物全程机械化，小麦耕种收综合机械化率达到100%，玉米耕种收综合机械化率达到99.76%，被认定为全国第五批率先基本实现主要农作物生产全程机械化示范县。积极加强农产品质量安全监管，被认定为第四批河北省农产品质量安全县。</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ascii="楷体_GB2312" w:hAnsi="楷体_GB2312" w:eastAsia="楷体_GB2312" w:cs="楷体_GB2312"/>
          <w:b w:val="0"/>
          <w:bCs w:val="0"/>
          <w:color w:val="000000" w:themeColor="text1"/>
          <w:sz w:val="28"/>
          <w:szCs w:val="28"/>
          <w14:textFill>
            <w14:solidFill>
              <w14:schemeClr w14:val="tx1"/>
            </w14:solidFill>
          </w14:textFill>
        </w:rPr>
      </w:pPr>
      <w:bookmarkStart w:id="36" w:name="_Toc30889"/>
      <w:bookmarkStart w:id="37" w:name="_Toc6202"/>
      <w:bookmarkStart w:id="38" w:name="_Toc2789"/>
      <w:bookmarkStart w:id="39" w:name="_Toc16596"/>
      <w:bookmarkStart w:id="40" w:name="_Toc11601"/>
      <w:bookmarkStart w:id="41" w:name="_Toc131"/>
      <w:r>
        <w:rPr>
          <w:rFonts w:hint="eastAsia" w:ascii="楷体_GB2312" w:hAnsi="楷体_GB2312" w:eastAsia="楷体_GB2312" w:cs="楷体_GB2312"/>
          <w:b w:val="0"/>
          <w:bCs w:val="0"/>
          <w:color w:val="000000" w:themeColor="text1"/>
          <w:sz w:val="28"/>
          <w:szCs w:val="28"/>
          <w14:textFill>
            <w14:solidFill>
              <w14:schemeClr w14:val="tx1"/>
            </w14:solidFill>
          </w14:textFill>
        </w:rPr>
        <w:t>（二）工业经济快速发展</w:t>
      </w:r>
      <w:bookmarkEnd w:id="36"/>
      <w:bookmarkEnd w:id="37"/>
      <w:bookmarkEnd w:id="38"/>
      <w:bookmarkEnd w:id="39"/>
      <w:bookmarkEnd w:id="40"/>
      <w:bookmarkEnd w:id="41"/>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产业规模持续提升。</w:t>
      </w:r>
      <w:r>
        <w:rPr>
          <w:rFonts w:hint="eastAsia" w:ascii="仿宋_GB2312" w:hAnsi="仿宋_GB2312" w:eastAsia="仿宋_GB2312" w:cs="仿宋_GB2312"/>
          <w:color w:val="000000" w:themeColor="text1"/>
          <w:sz w:val="28"/>
          <w:szCs w:val="28"/>
          <w14:textFill>
            <w14:solidFill>
              <w14:schemeClr w14:val="tx1"/>
            </w14:solidFill>
          </w14:textFill>
        </w:rPr>
        <w:t>“十三五”期间，全县工业实现企业、项目双增长，新增规模以上工业企业2</w:t>
      </w:r>
      <w:r>
        <w:rPr>
          <w:rFonts w:ascii="仿宋_GB2312" w:hAnsi="仿宋_GB2312" w:eastAsia="仿宋_GB2312" w:cs="仿宋_GB2312"/>
          <w:color w:val="000000" w:themeColor="text1"/>
          <w:sz w:val="28"/>
          <w:szCs w:val="28"/>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家，新增省市重点工业项目</w:t>
      </w:r>
      <w:r>
        <w:rPr>
          <w:rFonts w:ascii="仿宋_GB2312" w:hAnsi="仿宋_GB2312" w:eastAsia="仿宋_GB2312" w:cs="仿宋_GB2312"/>
          <w:color w:val="000000" w:themeColor="text1"/>
          <w:sz w:val="28"/>
          <w:szCs w:val="28"/>
          <w14:textFill>
            <w14:solidFill>
              <w14:schemeClr w14:val="tx1"/>
            </w14:solidFill>
          </w14:textFill>
        </w:rPr>
        <w:t>130</w:t>
      </w:r>
      <w:r>
        <w:rPr>
          <w:rFonts w:hint="eastAsia" w:ascii="仿宋_GB2312" w:hAnsi="仿宋_GB2312" w:eastAsia="仿宋_GB2312" w:cs="仿宋_GB2312"/>
          <w:color w:val="000000" w:themeColor="text1"/>
          <w:sz w:val="28"/>
          <w:szCs w:val="28"/>
          <w14:textFill>
            <w14:solidFill>
              <w14:schemeClr w14:val="tx1"/>
            </w14:solidFill>
          </w14:textFill>
        </w:rPr>
        <w:t>个。工业产值从2015年的220亿元发展到2020年的320亿元，从业人员9万余人。</w:t>
      </w:r>
      <w:r>
        <w:rPr>
          <w:rFonts w:hint="eastAsia" w:ascii="仿宋_GB2312" w:hAnsi="仿宋_GB2312" w:eastAsia="仿宋_GB2312" w:cs="仿宋_GB2312"/>
          <w:b/>
          <w:bCs/>
          <w:color w:val="000000" w:themeColor="text1"/>
          <w:sz w:val="28"/>
          <w:szCs w:val="28"/>
          <w14:textFill>
            <w14:solidFill>
              <w14:schemeClr w14:val="tx1"/>
            </w14:solidFill>
          </w14:textFill>
        </w:rPr>
        <w:t>特色产业发展迅速。</w:t>
      </w:r>
      <w:r>
        <w:rPr>
          <w:rFonts w:hint="eastAsia" w:ascii="仿宋_GB2312" w:hAnsi="仿宋_GB2312" w:eastAsia="仿宋_GB2312" w:cs="仿宋_GB2312"/>
          <w:color w:val="000000" w:themeColor="text1"/>
          <w:sz w:val="28"/>
          <w:szCs w:val="28"/>
          <w14:textFill>
            <w14:solidFill>
              <w14:schemeClr w14:val="tx1"/>
            </w14:solidFill>
          </w14:textFill>
        </w:rPr>
        <w:t>羊绒、汽车及零部件制造、稀有金属及耐火材料等产业规模快速提升，2020年特色产业营业收入达到572.9亿元。羊绒产业被列入河北省智慧集群建设试点，羊绒小镇入选国家发改委“第二批全国典型精品特色小镇”，清河被评为“河北省汽车及零部件产业名县”，经济开发区被中国钨业协会授予“钨资源再生利用试验基地”称号。</w:t>
      </w:r>
      <w:r>
        <w:rPr>
          <w:rFonts w:hint="eastAsia" w:ascii="仿宋_GB2312" w:hAnsi="仿宋_GB2312" w:eastAsia="仿宋_GB2312" w:cs="仿宋_GB2312"/>
          <w:b/>
          <w:bCs/>
          <w:color w:val="000000" w:themeColor="text1"/>
          <w:sz w:val="28"/>
          <w:szCs w:val="28"/>
          <w14:textFill>
            <w14:solidFill>
              <w14:schemeClr w14:val="tx1"/>
            </w14:solidFill>
          </w14:textFill>
        </w:rPr>
        <w:t>企业加速高端发展。</w:t>
      </w:r>
      <w:r>
        <w:rPr>
          <w:rFonts w:hint="eastAsia" w:ascii="仿宋_GB2312" w:hAnsi="仿宋_GB2312" w:eastAsia="仿宋_GB2312" w:cs="仿宋_GB2312"/>
          <w:color w:val="000000" w:themeColor="text1"/>
          <w:sz w:val="28"/>
          <w:szCs w:val="28"/>
          <w14:textFill>
            <w14:solidFill>
              <w14:schemeClr w14:val="tx1"/>
            </w14:solidFill>
          </w14:textFill>
        </w:rPr>
        <w:t>中航上大完成股份制改造，高温合金锻造项目被评为“工业强基工程”，再生利用技术荣获“第四届中国航空创新创业大奖”以及“第五届中国创新挑战赛”第一名优异成绩，宇腾羊绒、河北新欧2家企业入选2020年全省百家优秀民营企业。</w:t>
      </w:r>
      <w:r>
        <w:rPr>
          <w:rFonts w:hint="eastAsia" w:ascii="仿宋_GB2312" w:hAnsi="仿宋_GB2312" w:eastAsia="仿宋_GB2312" w:cs="仿宋_GB2312"/>
          <w:b/>
          <w:bCs/>
          <w:color w:val="000000" w:themeColor="text1"/>
          <w:sz w:val="28"/>
          <w:szCs w:val="28"/>
          <w14:textFill>
            <w14:solidFill>
              <w14:schemeClr w14:val="tx1"/>
            </w14:solidFill>
          </w14:textFill>
        </w:rPr>
        <w:t>品牌建设卓有成效</w:t>
      </w:r>
      <w:r>
        <w:rPr>
          <w:rFonts w:hint="eastAsia" w:ascii="仿宋_GB2312" w:hAnsi="仿宋_GB2312" w:eastAsia="仿宋_GB2312" w:cs="仿宋_GB2312"/>
          <w:color w:val="000000" w:themeColor="text1"/>
          <w:sz w:val="28"/>
          <w:szCs w:val="28"/>
          <w14:textFill>
            <w14:solidFill>
              <w14:schemeClr w14:val="tx1"/>
            </w14:solidFill>
          </w14:textFill>
        </w:rPr>
        <w:t>。以“清河羊绒”“清河滤清器”区域品牌组团参加国内外高端展会，建成羊绒大厦、中国羊线博物馆，定期发布“清河中国羊绒指数”，产业影响力和行业话语权明显增强。坚持以工业设计创品牌、提品质，建成羊绒原创设计展示中心，与潘恰良、林姿含、张伶俐等知名设计师实现深度合作，红太、帕米尔、衣尚等企业的品牌形象和产品附加值显著提升，新增中国驰名商标达9件，衣尚、红太、昭友品牌获河北省十大服装品牌称号。</w:t>
      </w:r>
      <w:r>
        <w:rPr>
          <w:rFonts w:hint="eastAsia" w:ascii="仿宋_GB2312" w:hAnsi="仿宋_GB2312" w:eastAsia="仿宋_GB2312" w:cs="仿宋_GB2312"/>
          <w:b/>
          <w:bCs/>
          <w:color w:val="000000" w:themeColor="text1"/>
          <w:sz w:val="28"/>
          <w:szCs w:val="28"/>
          <w14:textFill>
            <w14:solidFill>
              <w14:schemeClr w14:val="tx1"/>
            </w14:solidFill>
          </w14:textFill>
        </w:rPr>
        <w:t>市场渠道不断拓宽。</w:t>
      </w:r>
      <w:r>
        <w:rPr>
          <w:rFonts w:hint="eastAsia" w:ascii="仿宋_GB2312" w:hAnsi="仿宋_GB2312" w:eastAsia="仿宋_GB2312" w:cs="仿宋_GB2312"/>
          <w:color w:val="000000" w:themeColor="text1"/>
          <w:sz w:val="28"/>
          <w:szCs w:val="28"/>
          <w14:textFill>
            <w14:solidFill>
              <w14:schemeClr w14:val="tx1"/>
            </w14:solidFill>
          </w14:textFill>
        </w:rPr>
        <w:t>全县新增进出口企业459家，总数达745家，2020年实现出口创汇3.4亿美元，是2015年的1.79倍，年均增长15％。线上线下加快融合发展，2020年全县网络零售额突破1</w:t>
      </w:r>
      <w:r>
        <w:rPr>
          <w:rFonts w:ascii="仿宋_GB2312" w:hAnsi="仿宋_GB2312" w:eastAsia="仿宋_GB2312" w:cs="仿宋_GB2312"/>
          <w:color w:val="000000" w:themeColor="text1"/>
          <w:sz w:val="28"/>
          <w:szCs w:val="28"/>
          <w14:textFill>
            <w14:solidFill>
              <w14:schemeClr w14:val="tx1"/>
            </w14:solidFill>
          </w14:textFill>
        </w:rPr>
        <w:t>00</w:t>
      </w:r>
      <w:r>
        <w:rPr>
          <w:rFonts w:hint="eastAsia" w:ascii="仿宋_GB2312" w:hAnsi="仿宋_GB2312" w:eastAsia="仿宋_GB2312" w:cs="仿宋_GB2312"/>
          <w:color w:val="000000" w:themeColor="text1"/>
          <w:sz w:val="28"/>
          <w:szCs w:val="28"/>
          <w14:textFill>
            <w14:solidFill>
              <w14:schemeClr w14:val="tx1"/>
            </w14:solidFill>
          </w14:textFill>
        </w:rPr>
        <w:t>亿元，清河被认定为“全国电子商务进农村综合示范县”，连续五年位居“全国电子商务百佳县”前三甲。</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ascii="楷体_GB2312" w:hAnsi="楷体_GB2312" w:eastAsia="楷体_GB2312" w:cs="楷体_GB2312"/>
          <w:b w:val="0"/>
          <w:bCs w:val="0"/>
          <w:color w:val="000000" w:themeColor="text1"/>
          <w:sz w:val="28"/>
          <w:szCs w:val="28"/>
          <w14:textFill>
            <w14:solidFill>
              <w14:schemeClr w14:val="tx1"/>
            </w14:solidFill>
          </w14:textFill>
        </w:rPr>
      </w:pPr>
      <w:bookmarkStart w:id="42" w:name="_Toc17746"/>
      <w:bookmarkStart w:id="43" w:name="_Toc18684"/>
      <w:bookmarkStart w:id="44" w:name="_Toc3309"/>
      <w:bookmarkStart w:id="45" w:name="_Toc17961"/>
      <w:bookmarkStart w:id="46" w:name="_Toc29898"/>
      <w:bookmarkStart w:id="47" w:name="_Toc20874"/>
      <w:bookmarkStart w:id="48" w:name="_Toc1397"/>
      <w:bookmarkStart w:id="49" w:name="_Toc743"/>
      <w:bookmarkStart w:id="50" w:name="_Toc31795"/>
      <w:r>
        <w:rPr>
          <w:rFonts w:hint="eastAsia" w:ascii="楷体_GB2312" w:hAnsi="楷体_GB2312" w:eastAsia="楷体_GB2312" w:cs="楷体_GB2312"/>
          <w:b w:val="0"/>
          <w:bCs w:val="0"/>
          <w:color w:val="000000" w:themeColor="text1"/>
          <w:sz w:val="28"/>
          <w:szCs w:val="28"/>
          <w14:textFill>
            <w14:solidFill>
              <w14:schemeClr w14:val="tx1"/>
            </w14:solidFill>
          </w14:textFill>
        </w:rPr>
        <w:t>（三）服务业发展日趋活跃</w:t>
      </w:r>
      <w:bookmarkEnd w:id="42"/>
      <w:bookmarkEnd w:id="43"/>
      <w:bookmarkEnd w:id="44"/>
      <w:bookmarkEnd w:id="45"/>
      <w:bookmarkEnd w:id="46"/>
      <w:bookmarkEnd w:id="47"/>
      <w:bookmarkEnd w:id="48"/>
      <w:bookmarkEnd w:id="49"/>
      <w:bookmarkEnd w:id="50"/>
    </w:p>
    <w:p>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2020年完成服务业增加值</w:t>
      </w:r>
      <w:r>
        <w:rPr>
          <w:rFonts w:ascii="仿宋_GB2312" w:hAnsi="仿宋_GB2312" w:eastAsia="仿宋_GB2312" w:cs="仿宋_GB2312"/>
          <w:color w:val="000000" w:themeColor="text1"/>
          <w:kern w:val="2"/>
          <w:sz w:val="28"/>
          <w:szCs w:val="28"/>
          <w14:textFill>
            <w14:solidFill>
              <w14:schemeClr w14:val="tx1"/>
            </w14:solidFill>
          </w14:textFill>
        </w:rPr>
        <w:t>80</w:t>
      </w:r>
      <w:r>
        <w:rPr>
          <w:rFonts w:hint="eastAsia" w:ascii="仿宋_GB2312" w:hAnsi="仿宋_GB2312" w:eastAsia="仿宋_GB2312" w:cs="仿宋_GB2312"/>
          <w:color w:val="000000" w:themeColor="text1"/>
          <w:kern w:val="2"/>
          <w:sz w:val="28"/>
          <w:szCs w:val="28"/>
          <w14:textFill>
            <w14:solidFill>
              <w14:schemeClr w14:val="tx1"/>
            </w14:solidFill>
          </w14:textFill>
        </w:rPr>
        <w:t>亿元，占GDP的比重达到</w:t>
      </w:r>
      <w:r>
        <w:rPr>
          <w:rFonts w:ascii="仿宋_GB2312" w:hAnsi="仿宋_GB2312" w:eastAsia="仿宋_GB2312" w:cs="仿宋_GB2312"/>
          <w:color w:val="000000" w:themeColor="text1"/>
          <w:kern w:val="2"/>
          <w:sz w:val="28"/>
          <w:szCs w:val="28"/>
          <w14:textFill>
            <w14:solidFill>
              <w14:schemeClr w14:val="tx1"/>
            </w14:solidFill>
          </w14:textFill>
        </w:rPr>
        <w:t>54.2</w:t>
      </w:r>
      <w:r>
        <w:rPr>
          <w:rFonts w:hint="eastAsia" w:ascii="仿宋_GB2312" w:hAnsi="仿宋_GB2312" w:eastAsia="仿宋_GB2312" w:cs="仿宋_GB2312"/>
          <w:color w:val="000000" w:themeColor="text1"/>
          <w:kern w:val="2"/>
          <w:sz w:val="28"/>
          <w:szCs w:val="28"/>
          <w14:textFill>
            <w14:solidFill>
              <w14:schemeClr w14:val="tx1"/>
            </w14:solidFill>
          </w14:textFill>
        </w:rPr>
        <w:t>%，“十三五”期间服务业增加值年均增长</w:t>
      </w:r>
      <w:r>
        <w:rPr>
          <w:rFonts w:ascii="仿宋_GB2312" w:hAnsi="仿宋_GB2312" w:eastAsia="仿宋_GB2312" w:cs="仿宋_GB2312"/>
          <w:color w:val="000000" w:themeColor="text1"/>
          <w:kern w:val="2"/>
          <w:sz w:val="28"/>
          <w:szCs w:val="28"/>
          <w14:textFill>
            <w14:solidFill>
              <w14:schemeClr w14:val="tx1"/>
            </w14:solidFill>
          </w14:textFill>
        </w:rPr>
        <w:t>8.7</w:t>
      </w:r>
      <w:r>
        <w:rPr>
          <w:rFonts w:hint="eastAsia" w:ascii="仿宋_GB2312" w:hAnsi="仿宋_GB2312" w:eastAsia="仿宋_GB2312" w:cs="仿宋_GB2312"/>
          <w:color w:val="000000" w:themeColor="text1"/>
          <w:kern w:val="2"/>
          <w:sz w:val="28"/>
          <w:szCs w:val="28"/>
          <w14:textFill>
            <w14:solidFill>
              <w14:schemeClr w14:val="tx1"/>
            </w14:solidFill>
          </w14:textFill>
        </w:rPr>
        <w:t>%。</w:t>
      </w:r>
      <w:r>
        <w:rPr>
          <w:rFonts w:hint="eastAsia" w:ascii="仿宋_GB2312" w:hAnsi="仿宋_GB2312" w:eastAsia="仿宋_GB2312" w:cs="仿宋_GB2312"/>
          <w:b/>
          <w:bCs/>
          <w:color w:val="000000" w:themeColor="text1"/>
          <w:sz w:val="28"/>
          <w:szCs w:val="28"/>
          <w14:textFill>
            <w14:solidFill>
              <w14:schemeClr w14:val="tx1"/>
            </w14:solidFill>
          </w14:textFill>
        </w:rPr>
        <w:t>电子商务扩张迅速</w:t>
      </w:r>
      <w:r>
        <w:rPr>
          <w:rFonts w:hint="eastAsia" w:ascii="仿宋_GB2312" w:hAnsi="仿宋_GB2312" w:eastAsia="仿宋_GB2312" w:cs="仿宋_GB2312"/>
          <w:color w:val="000000" w:themeColor="text1"/>
          <w:kern w:val="2"/>
          <w:sz w:val="28"/>
          <w:szCs w:val="28"/>
          <w14:textFill>
            <w14:solidFill>
              <w14:schemeClr w14:val="tx1"/>
            </w14:solidFill>
          </w14:textFill>
        </w:rPr>
        <w:t>。清河现有电子商务企业3</w:t>
      </w:r>
      <w:r>
        <w:rPr>
          <w:rFonts w:ascii="仿宋_GB2312" w:hAnsi="仿宋_GB2312" w:eastAsia="仿宋_GB2312" w:cs="仿宋_GB2312"/>
          <w:color w:val="000000" w:themeColor="text1"/>
          <w:kern w:val="2"/>
          <w:sz w:val="28"/>
          <w:szCs w:val="28"/>
          <w14:textFill>
            <w14:solidFill>
              <w14:schemeClr w14:val="tx1"/>
            </w14:solidFill>
          </w14:textFill>
        </w:rPr>
        <w:t>5000</w:t>
      </w:r>
      <w:r>
        <w:rPr>
          <w:rFonts w:hint="eastAsia" w:ascii="仿宋_GB2312" w:hAnsi="仿宋_GB2312" w:eastAsia="仿宋_GB2312" w:cs="仿宋_GB2312"/>
          <w:color w:val="000000" w:themeColor="text1"/>
          <w:kern w:val="2"/>
          <w:sz w:val="28"/>
          <w:szCs w:val="28"/>
          <w14:textFill>
            <w14:solidFill>
              <w14:schemeClr w14:val="tx1"/>
            </w14:solidFill>
          </w14:textFill>
        </w:rPr>
        <w:t>余家，其中注册资本金500万元以上电商企业48家，月销售规模100万元以上企业600家，线上企业网络零售额年均增速15%以上。我县被评为国家级“电子商务示范基地”“中国电商示范百佳县”。</w:t>
      </w:r>
      <w:r>
        <w:rPr>
          <w:rFonts w:hint="eastAsia" w:ascii="仿宋_GB2312" w:hAnsi="仿宋_GB2312" w:eastAsia="仿宋_GB2312" w:cs="仿宋_GB2312"/>
          <w:b/>
          <w:bCs/>
          <w:color w:val="000000" w:themeColor="text1"/>
          <w:sz w:val="28"/>
          <w:szCs w:val="28"/>
          <w14:textFill>
            <w14:solidFill>
              <w14:schemeClr w14:val="tx1"/>
            </w14:solidFill>
          </w14:textFill>
        </w:rPr>
        <w:t>现代物流日益壮大</w:t>
      </w:r>
      <w:r>
        <w:rPr>
          <w:rFonts w:hint="eastAsia" w:ascii="仿宋_GB2312" w:hAnsi="仿宋_GB2312" w:eastAsia="仿宋_GB2312" w:cs="仿宋_GB2312"/>
          <w:color w:val="000000" w:themeColor="text1"/>
          <w:kern w:val="2"/>
          <w:sz w:val="28"/>
          <w:szCs w:val="28"/>
          <w14:textFill>
            <w14:solidFill>
              <w14:schemeClr w14:val="tx1"/>
            </w14:solidFill>
          </w14:textFill>
        </w:rPr>
        <w:t>。</w:t>
      </w:r>
      <w:bookmarkStart w:id="51" w:name="_Hlk63337706"/>
      <w:r>
        <w:rPr>
          <w:rFonts w:hint="eastAsia" w:ascii="仿宋_GB2312" w:hAnsi="仿宋_GB2312" w:eastAsia="仿宋_GB2312" w:cs="仿宋_GB2312"/>
          <w:color w:val="000000" w:themeColor="text1"/>
          <w:kern w:val="2"/>
          <w:sz w:val="28"/>
          <w:szCs w:val="28"/>
          <w14:textFill>
            <w14:solidFill>
              <w14:schemeClr w14:val="tx1"/>
            </w14:solidFill>
          </w14:textFill>
        </w:rPr>
        <w:t>全县货运车辆保有量</w:t>
      </w:r>
      <w:r>
        <w:rPr>
          <w:rFonts w:ascii="仿宋_GB2312" w:hAnsi="仿宋_GB2312" w:eastAsia="仿宋_GB2312" w:cs="仿宋_GB2312"/>
          <w:color w:val="000000" w:themeColor="text1"/>
          <w:kern w:val="2"/>
          <w:sz w:val="28"/>
          <w:szCs w:val="28"/>
          <w14:textFill>
            <w14:solidFill>
              <w14:schemeClr w14:val="tx1"/>
            </w14:solidFill>
          </w14:textFill>
        </w:rPr>
        <w:t>1133</w:t>
      </w:r>
      <w:r>
        <w:rPr>
          <w:rFonts w:hint="eastAsia" w:ascii="仿宋_GB2312" w:hAnsi="仿宋_GB2312" w:eastAsia="仿宋_GB2312" w:cs="仿宋_GB2312"/>
          <w:color w:val="000000" w:themeColor="text1"/>
          <w:kern w:val="2"/>
          <w:sz w:val="28"/>
          <w:szCs w:val="28"/>
          <w14:textFill>
            <w14:solidFill>
              <w14:schemeClr w14:val="tx1"/>
            </w14:solidFill>
          </w14:textFill>
        </w:rPr>
        <w:t>辆，2</w:t>
      </w:r>
      <w:r>
        <w:rPr>
          <w:rFonts w:ascii="仿宋_GB2312" w:hAnsi="仿宋_GB2312" w:eastAsia="仿宋_GB2312" w:cs="仿宋_GB2312"/>
          <w:color w:val="000000" w:themeColor="text1"/>
          <w:kern w:val="2"/>
          <w:sz w:val="28"/>
          <w:szCs w:val="28"/>
          <w14:textFill>
            <w14:solidFill>
              <w14:schemeClr w14:val="tx1"/>
            </w14:solidFill>
          </w14:textFill>
        </w:rPr>
        <w:t>020</w:t>
      </w:r>
      <w:r>
        <w:rPr>
          <w:rFonts w:hint="eastAsia" w:ascii="仿宋_GB2312" w:hAnsi="仿宋_GB2312" w:eastAsia="仿宋_GB2312" w:cs="仿宋_GB2312"/>
          <w:color w:val="000000" w:themeColor="text1"/>
          <w:kern w:val="2"/>
          <w:sz w:val="28"/>
          <w:szCs w:val="28"/>
          <w14:textFill>
            <w14:solidFill>
              <w14:schemeClr w14:val="tx1"/>
            </w14:solidFill>
          </w14:textFill>
        </w:rPr>
        <w:t>年实现周转货物</w:t>
      </w:r>
      <w:r>
        <w:rPr>
          <w:rFonts w:ascii="仿宋_GB2312" w:hAnsi="仿宋_GB2312" w:eastAsia="仿宋_GB2312" w:cs="仿宋_GB2312"/>
          <w:color w:val="000000" w:themeColor="text1"/>
          <w:kern w:val="2"/>
          <w:sz w:val="28"/>
          <w:szCs w:val="28"/>
          <w14:textFill>
            <w14:solidFill>
              <w14:schemeClr w14:val="tx1"/>
            </w14:solidFill>
          </w14:textFill>
        </w:rPr>
        <w:t>179</w:t>
      </w:r>
      <w:r>
        <w:rPr>
          <w:rFonts w:hint="eastAsia" w:ascii="仿宋_GB2312" w:hAnsi="仿宋_GB2312" w:eastAsia="仿宋_GB2312" w:cs="仿宋_GB2312"/>
          <w:color w:val="000000" w:themeColor="text1"/>
          <w:kern w:val="2"/>
          <w:sz w:val="28"/>
          <w:szCs w:val="28"/>
          <w14:textFill>
            <w14:solidFill>
              <w14:schemeClr w14:val="tx1"/>
            </w14:solidFill>
          </w14:textFill>
        </w:rPr>
        <w:t>亿吨公里。</w:t>
      </w:r>
      <w:bookmarkEnd w:id="51"/>
      <w:r>
        <w:rPr>
          <w:rFonts w:hint="eastAsia" w:ascii="仿宋_GB2312" w:hAnsi="仿宋_GB2312" w:eastAsia="仿宋_GB2312" w:cs="仿宋_GB2312"/>
          <w:color w:val="000000" w:themeColor="text1"/>
          <w:kern w:val="2"/>
          <w:sz w:val="28"/>
          <w:szCs w:val="28"/>
          <w14:textFill>
            <w14:solidFill>
              <w14:schemeClr w14:val="tx1"/>
            </w14:solidFill>
          </w14:textFill>
        </w:rPr>
        <w:t>培育形成“快递+羊绒制品”“快递+汽车零部件”两个业务量超千万件金牌项目，拉动网络零售额80亿元，我县被评为“中国快递服务五十佳县”。</w:t>
      </w:r>
      <w:r>
        <w:rPr>
          <w:rFonts w:hint="eastAsia" w:ascii="仿宋_GB2312" w:hAnsi="仿宋_GB2312" w:eastAsia="仿宋_GB2312" w:cs="仿宋_GB2312"/>
          <w:b/>
          <w:bCs/>
          <w:color w:val="000000" w:themeColor="text1"/>
          <w:sz w:val="28"/>
          <w:szCs w:val="28"/>
          <w14:textFill>
            <w14:solidFill>
              <w14:schemeClr w14:val="tx1"/>
            </w14:solidFill>
          </w14:textFill>
        </w:rPr>
        <w:t>文化旅游产业稳步推进</w:t>
      </w:r>
      <w:r>
        <w:rPr>
          <w:rFonts w:hint="eastAsia" w:ascii="仿宋_GB2312" w:hAnsi="仿宋_GB2312" w:eastAsia="仿宋_GB2312" w:cs="仿宋_GB2312"/>
          <w:color w:val="000000" w:themeColor="text1"/>
          <w:kern w:val="2"/>
          <w:sz w:val="28"/>
          <w:szCs w:val="28"/>
          <w14:textFill>
            <w14:solidFill>
              <w14:schemeClr w14:val="tx1"/>
            </w14:solidFill>
          </w14:textFill>
        </w:rPr>
        <w:t>。张氏祭祖节、山楂花节、山楂采摘节、中国大运河武术文化联盟武术交流赛、羊绒小镇产业游等特色文化旅游活动成效显著，</w:t>
      </w:r>
      <w:bookmarkStart w:id="52" w:name="_Hlk63337548"/>
      <w:r>
        <w:rPr>
          <w:rFonts w:hint="eastAsia" w:ascii="仿宋_GB2312" w:hAnsi="仿宋_GB2312" w:eastAsia="仿宋_GB2312" w:cs="仿宋_GB2312"/>
          <w:color w:val="000000" w:themeColor="text1"/>
          <w:kern w:val="2"/>
          <w:sz w:val="28"/>
          <w:szCs w:val="28"/>
          <w14:textFill>
            <w14:solidFill>
              <w14:schemeClr w14:val="tx1"/>
            </w14:solidFill>
          </w14:textFill>
        </w:rPr>
        <w:t>近三年累计接待游客</w:t>
      </w:r>
      <w:r>
        <w:rPr>
          <w:rFonts w:ascii="仿宋_GB2312" w:hAnsi="仿宋_GB2312" w:eastAsia="仿宋_GB2312" w:cs="仿宋_GB2312"/>
          <w:color w:val="000000" w:themeColor="text1"/>
          <w:kern w:val="2"/>
          <w:sz w:val="28"/>
          <w:szCs w:val="28"/>
          <w14:textFill>
            <w14:solidFill>
              <w14:schemeClr w14:val="tx1"/>
            </w14:solidFill>
          </w14:textFill>
        </w:rPr>
        <w:t>376.6</w:t>
      </w:r>
      <w:r>
        <w:rPr>
          <w:rFonts w:hint="eastAsia" w:ascii="仿宋_GB2312" w:hAnsi="仿宋_GB2312" w:eastAsia="仿宋_GB2312" w:cs="仿宋_GB2312"/>
          <w:color w:val="000000" w:themeColor="text1"/>
          <w:kern w:val="2"/>
          <w:sz w:val="28"/>
          <w:szCs w:val="28"/>
          <w14:textFill>
            <w14:solidFill>
              <w14:schemeClr w14:val="tx1"/>
            </w14:solidFill>
          </w14:textFill>
        </w:rPr>
        <w:t>万人次，实现旅游收入</w:t>
      </w:r>
      <w:r>
        <w:rPr>
          <w:rFonts w:ascii="仿宋_GB2312" w:hAnsi="仿宋_GB2312" w:eastAsia="仿宋_GB2312" w:cs="仿宋_GB2312"/>
          <w:color w:val="000000" w:themeColor="text1"/>
          <w:kern w:val="2"/>
          <w:sz w:val="28"/>
          <w:szCs w:val="28"/>
          <w14:textFill>
            <w14:solidFill>
              <w14:schemeClr w14:val="tx1"/>
            </w14:solidFill>
          </w14:textFill>
        </w:rPr>
        <w:t>119.6</w:t>
      </w:r>
      <w:r>
        <w:rPr>
          <w:rFonts w:hint="eastAsia" w:ascii="仿宋_GB2312" w:hAnsi="仿宋_GB2312" w:eastAsia="仿宋_GB2312" w:cs="仿宋_GB2312"/>
          <w:color w:val="000000" w:themeColor="text1"/>
          <w:kern w:val="2"/>
          <w:sz w:val="28"/>
          <w:szCs w:val="28"/>
          <w14:textFill>
            <w14:solidFill>
              <w14:schemeClr w14:val="tx1"/>
            </w14:solidFill>
          </w14:textFill>
        </w:rPr>
        <w:t>亿元。</w:t>
      </w:r>
      <w:bookmarkEnd w:id="52"/>
      <w:r>
        <w:rPr>
          <w:rFonts w:hint="eastAsia" w:ascii="仿宋_GB2312" w:hAnsi="仿宋_GB2312" w:eastAsia="仿宋_GB2312" w:cs="仿宋_GB2312"/>
          <w:b/>
          <w:bCs/>
          <w:color w:val="000000" w:themeColor="text1"/>
          <w:sz w:val="28"/>
          <w:szCs w:val="28"/>
          <w14:textFill>
            <w14:solidFill>
              <w14:schemeClr w14:val="tx1"/>
            </w14:solidFill>
          </w14:textFill>
        </w:rPr>
        <w:t>商贸、金融繁荣发展</w:t>
      </w:r>
      <w:r>
        <w:rPr>
          <w:rFonts w:hint="eastAsia" w:ascii="仿宋_GB2312" w:hAnsi="仿宋_GB2312" w:eastAsia="仿宋_GB2312" w:cs="仿宋_GB2312"/>
          <w:color w:val="000000" w:themeColor="text1"/>
          <w:kern w:val="2"/>
          <w:sz w:val="28"/>
          <w:szCs w:val="28"/>
          <w14:textFill>
            <w14:solidFill>
              <w14:schemeClr w14:val="tx1"/>
            </w14:solidFill>
          </w14:textFill>
        </w:rPr>
        <w:t>。到2</w:t>
      </w:r>
      <w:r>
        <w:rPr>
          <w:rFonts w:ascii="仿宋_GB2312" w:hAnsi="仿宋_GB2312" w:eastAsia="仿宋_GB2312" w:cs="仿宋_GB2312"/>
          <w:color w:val="000000" w:themeColor="text1"/>
          <w:kern w:val="2"/>
          <w:sz w:val="28"/>
          <w:szCs w:val="28"/>
          <w14:textFill>
            <w14:solidFill>
              <w14:schemeClr w14:val="tx1"/>
            </w14:solidFill>
          </w14:textFill>
        </w:rPr>
        <w:t>020</w:t>
      </w:r>
      <w:r>
        <w:rPr>
          <w:rFonts w:hint="eastAsia" w:ascii="仿宋_GB2312" w:hAnsi="仿宋_GB2312" w:eastAsia="仿宋_GB2312" w:cs="仿宋_GB2312"/>
          <w:color w:val="000000" w:themeColor="text1"/>
          <w:kern w:val="2"/>
          <w:sz w:val="28"/>
          <w:szCs w:val="28"/>
          <w14:textFill>
            <w14:solidFill>
              <w14:schemeClr w14:val="tx1"/>
            </w14:solidFill>
          </w14:textFill>
        </w:rPr>
        <w:t>年，全县限额以上零售企业达35家，麦当劳等知名企业的入驻为我县经济注入了新的活力，全县</w:t>
      </w:r>
      <w:r>
        <w:rPr>
          <w:rFonts w:hint="eastAsia" w:ascii="仿宋_GB2312" w:hAnsi="仿宋_GB2312" w:eastAsia="仿宋_GB2312" w:cs="仿宋_GB2312"/>
          <w:color w:val="000000" w:themeColor="text1"/>
          <w:sz w:val="28"/>
          <w:szCs w:val="28"/>
          <w14:textFill>
            <w14:solidFill>
              <w14:schemeClr w14:val="tx1"/>
            </w14:solidFill>
          </w14:textFill>
        </w:rPr>
        <w:t>社会消费品零售总额实现年均增长7.3%。到</w:t>
      </w:r>
      <w:r>
        <w:rPr>
          <w:rFonts w:hint="eastAsia" w:ascii="仿宋_GB2312" w:hAnsi="仿宋_GB2312" w:eastAsia="仿宋_GB2312" w:cs="仿宋_GB2312"/>
          <w:color w:val="000000" w:themeColor="text1"/>
          <w:kern w:val="2"/>
          <w:sz w:val="28"/>
          <w:szCs w:val="28"/>
          <w14:textFill>
            <w14:solidFill>
              <w14:schemeClr w14:val="tx1"/>
            </w14:solidFill>
          </w14:textFill>
        </w:rPr>
        <w:t>“十三五”末，驻县金融机构达到13家，成为全市乃至全省金融机构最健全的县（市）之一。</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ascii="黑体" w:hAnsi="黑体" w:eastAsia="黑体"/>
          <w:b w:val="0"/>
          <w:bCs w:val="0"/>
          <w:color w:val="000000" w:themeColor="text1"/>
          <w:sz w:val="28"/>
          <w:szCs w:val="28"/>
          <w14:textFill>
            <w14:solidFill>
              <w14:schemeClr w14:val="tx1"/>
            </w14:solidFill>
          </w14:textFill>
        </w:rPr>
      </w:pPr>
      <w:bookmarkStart w:id="53" w:name="_Toc13948"/>
      <w:bookmarkStart w:id="54" w:name="_Toc6702"/>
      <w:bookmarkStart w:id="55" w:name="_Toc23263"/>
      <w:r>
        <w:rPr>
          <w:rFonts w:hint="eastAsia" w:ascii="黑体" w:hAnsi="黑体" w:eastAsia="黑体"/>
          <w:b w:val="0"/>
          <w:bCs w:val="0"/>
          <w:color w:val="000000" w:themeColor="text1"/>
          <w:sz w:val="28"/>
          <w:szCs w:val="28"/>
          <w14:textFill>
            <w14:solidFill>
              <w14:schemeClr w14:val="tx1"/>
            </w14:solidFill>
          </w14:textFill>
        </w:rPr>
        <w:t>三、招商选资成效显著，项目建设持续推进</w:t>
      </w:r>
      <w:bookmarkEnd w:id="53"/>
      <w:bookmarkEnd w:id="54"/>
      <w:bookmarkEnd w:id="55"/>
    </w:p>
    <w:p>
      <w:pPr>
        <w:pStyle w:val="2"/>
        <w:keepNext w:val="0"/>
        <w:keepLines w:val="0"/>
        <w:pageBreakBefore w:val="0"/>
        <w:widowControl w:val="0"/>
        <w:kinsoku/>
        <w:wordWrap/>
        <w:overflowPunct/>
        <w:topLinePunct w:val="0"/>
        <w:autoSpaceDE/>
        <w:autoSpaceDN/>
        <w:bidi w:val="0"/>
        <w:adjustRightInd/>
        <w:snapToGrid/>
        <w:spacing w:after="0" w:line="560" w:lineRule="exact"/>
        <w:ind w:firstLine="562" w:firstLineChars="200"/>
        <w:textAlignment w:val="auto"/>
        <w:rPr>
          <w:rFonts w:hAnsi="仿宋_GB2312"/>
          <w:color w:val="000000" w:themeColor="text1"/>
          <w:sz w:val="28"/>
          <w:szCs w:val="28"/>
          <w14:textFill>
            <w14:solidFill>
              <w14:schemeClr w14:val="tx1"/>
            </w14:solidFill>
          </w14:textFill>
        </w:rPr>
      </w:pPr>
      <w:r>
        <w:rPr>
          <w:rFonts w:hint="eastAsia" w:hAnsi="仿宋_GB2312"/>
          <w:b/>
          <w:color w:val="000000" w:themeColor="text1"/>
          <w:sz w:val="28"/>
          <w:szCs w:val="28"/>
          <w14:textFill>
            <w14:solidFill>
              <w14:schemeClr w14:val="tx1"/>
            </w14:solidFill>
          </w14:textFill>
        </w:rPr>
        <w:t>招商选资工作成效显著。</w:t>
      </w:r>
      <w:r>
        <w:rPr>
          <w:rFonts w:hint="eastAsia" w:hAnsi="仿宋_GB2312"/>
          <w:color w:val="000000" w:themeColor="text1"/>
          <w:sz w:val="28"/>
          <w:szCs w:val="28"/>
          <w14:textFill>
            <w14:solidFill>
              <w14:schemeClr w14:val="tx1"/>
            </w14:solidFill>
          </w14:textFill>
        </w:rPr>
        <w:t>全县始终把招商作为拉动经济增长的主引擎，以项目论英雄，先后出台实施《招商新政60条》《清河崇商亲商富商安商“十条”》等一系列招商政策。“十三五”期间，我县共签约项目140个，协议总投资超450亿元，其中10亿元以上项目16个。中航上大循环工业园、香港南旋针织智慧城等一批优质项目落户清河县，招商选资工作连续多年位居全市前列。</w:t>
      </w:r>
      <w:r>
        <w:rPr>
          <w:rFonts w:hint="eastAsia" w:hAnsi="仿宋_GB2312"/>
          <w:b/>
          <w:color w:val="000000" w:themeColor="text1"/>
          <w:sz w:val="28"/>
          <w:szCs w:val="28"/>
          <w14:textFill>
            <w14:solidFill>
              <w14:schemeClr w14:val="tx1"/>
            </w14:solidFill>
          </w14:textFill>
        </w:rPr>
        <w:t>项目建设快速发展。</w:t>
      </w:r>
      <w:r>
        <w:rPr>
          <w:rFonts w:hint="eastAsia" w:hAnsi="仿宋_GB2312"/>
          <w:color w:val="000000" w:themeColor="text1"/>
          <w:sz w:val="28"/>
          <w:szCs w:val="28"/>
          <w14:textFill>
            <w14:solidFill>
              <w14:schemeClr w14:val="tx1"/>
            </w14:solidFill>
          </w14:textFill>
        </w:rPr>
        <w:t>“十三五”期间，全县新上亿元以上重点产业类项目100余个，涵盖了传统产业、高端装备制造业、战略新兴业等各项领域，争列省市重点项目88个，连年位居全市前列。河北宇腾羊绒制品有限公司意大利纺织工艺羊绒生产线、河北力派汽车零部件有限公司汽车刹车片、中优粮食品项目等一大批高质量项目竣工投产。</w:t>
      </w:r>
      <w:r>
        <w:rPr>
          <w:rFonts w:hint="eastAsia" w:hAnsi="仿宋_GB2312"/>
          <w:b/>
          <w:bCs/>
          <w:color w:val="000000" w:themeColor="text1"/>
          <w:sz w:val="28"/>
          <w:szCs w:val="28"/>
          <w14:textFill>
            <w14:solidFill>
              <w14:schemeClr w14:val="tx1"/>
            </w14:solidFill>
          </w14:textFill>
        </w:rPr>
        <w:t>平台承载显著增强。</w:t>
      </w:r>
      <w:r>
        <w:rPr>
          <w:rFonts w:hint="eastAsia" w:hAnsi="仿宋_GB2312"/>
          <w:color w:val="000000" w:themeColor="text1"/>
          <w:sz w:val="28"/>
          <w:szCs w:val="28"/>
          <w14:textFill>
            <w14:solidFill>
              <w14:schemeClr w14:val="tx1"/>
            </w14:solidFill>
          </w14:textFill>
        </w:rPr>
        <w:t>经济开发区累计投资达16亿元以上，不断完善水、电、路、气等基础设施，园区承载力明显提升，先后荣获“中国投资营商环境最优园区”“国家绿色园区”“全国改革创新示范区”“河北省开放发展十佳开发区”等称号，是唯一入围京津冀“2+4+46”协同创新平台的县域省级开发区。羊绒小镇功能不断健全，先后被评为“国家级创意设计示范园区”“中国商品交易百强市场”“全国特色小镇典型经验样本”，被列入全省重点创建的30个特色小镇之一。</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ascii="黑体" w:hAnsi="黑体" w:eastAsia="黑体"/>
          <w:b w:val="0"/>
          <w:bCs w:val="0"/>
          <w:color w:val="000000" w:themeColor="text1"/>
          <w:sz w:val="28"/>
          <w:szCs w:val="28"/>
          <w14:textFill>
            <w14:solidFill>
              <w14:schemeClr w14:val="tx1"/>
            </w14:solidFill>
          </w14:textFill>
        </w:rPr>
      </w:pPr>
      <w:bookmarkStart w:id="56" w:name="_Toc21765"/>
      <w:bookmarkStart w:id="57" w:name="_Toc6787"/>
      <w:r>
        <w:rPr>
          <w:rFonts w:hint="eastAsia" w:ascii="黑体" w:hAnsi="黑体" w:eastAsia="黑体"/>
          <w:b w:val="0"/>
          <w:bCs w:val="0"/>
          <w:color w:val="000000" w:themeColor="text1"/>
          <w:sz w:val="28"/>
          <w:szCs w:val="28"/>
          <w14:textFill>
            <w14:solidFill>
              <w14:schemeClr w14:val="tx1"/>
            </w14:solidFill>
          </w14:textFill>
        </w:rPr>
        <w:t>四、创新能力稳步提升，发展活力持续释放</w:t>
      </w:r>
      <w:bookmarkEnd w:id="56"/>
      <w:bookmarkEnd w:id="57"/>
    </w:p>
    <w:p>
      <w:pPr>
        <w:pStyle w:val="2"/>
        <w:keepNext w:val="0"/>
        <w:keepLines w:val="0"/>
        <w:pageBreakBefore w:val="0"/>
        <w:widowControl w:val="0"/>
        <w:kinsoku/>
        <w:wordWrap/>
        <w:overflowPunct/>
        <w:topLinePunct w:val="0"/>
        <w:autoSpaceDE/>
        <w:autoSpaceDN/>
        <w:bidi w:val="0"/>
        <w:adjustRightInd/>
        <w:snapToGrid/>
        <w:spacing w:after="0" w:line="560" w:lineRule="exact"/>
        <w:ind w:firstLine="562" w:firstLineChars="200"/>
        <w:textAlignment w:val="auto"/>
        <w:rPr>
          <w:rFonts w:ascii="Times New Roman" w:hAnsi="Times New Roman" w:cs="Times New Roman"/>
          <w:color w:val="000000" w:themeColor="text1"/>
          <w:sz w:val="28"/>
          <w:szCs w:val="28"/>
          <w14:textFill>
            <w14:solidFill>
              <w14:schemeClr w14:val="tx1"/>
            </w14:solidFill>
          </w14:textFill>
        </w:rPr>
      </w:pPr>
      <w:r>
        <w:rPr>
          <w:rFonts w:hint="eastAsia" w:hAnsi="仿宋_GB2312"/>
          <w:b/>
          <w:color w:val="000000" w:themeColor="text1"/>
          <w:sz w:val="28"/>
          <w:szCs w:val="28"/>
          <w14:textFill>
            <w14:solidFill>
              <w14:schemeClr w14:val="tx1"/>
            </w14:solidFill>
          </w14:textFill>
        </w:rPr>
        <w:t>创新主体量增质升。</w:t>
      </w:r>
      <w:r>
        <w:rPr>
          <w:rFonts w:hint="eastAsia" w:hAnsi="仿宋_GB2312"/>
          <w:color w:val="000000" w:themeColor="text1"/>
          <w:sz w:val="28"/>
          <w:szCs w:val="28"/>
          <w14:textFill>
            <w14:solidFill>
              <w14:schemeClr w14:val="tx1"/>
            </w14:solidFill>
          </w14:textFill>
        </w:rPr>
        <w:t>“十三五”期间，与中科院大学实现合作，建成联合创新实验室、双创基地和科技成果转化服务中心，新增院士工作站1家，2家产业技术研究院均被认定为省级研究院。全县拥有高新技术企业50家、科技型中小企业890家、省级企业技术研究中心19家、数字化车间3家、省级“专精特新”中小企业22家、</w:t>
      </w:r>
      <w:r>
        <w:rPr>
          <w:rFonts w:hint="eastAsia" w:hAnsi="仿宋_GB2312"/>
          <w:color w:val="000000" w:themeColor="text1"/>
          <w:sz w:val="28"/>
          <w:szCs w:val="28"/>
          <w:lang w:eastAsia="zh-CN"/>
          <w14:textFill>
            <w14:solidFill>
              <w14:schemeClr w14:val="tx1"/>
            </w14:solidFill>
          </w14:textFill>
        </w:rPr>
        <w:t>专精特新“小巨人”</w:t>
      </w:r>
      <w:r>
        <w:rPr>
          <w:rFonts w:hint="eastAsia" w:hAnsi="仿宋_GB2312"/>
          <w:color w:val="000000" w:themeColor="text1"/>
          <w:sz w:val="28"/>
          <w:szCs w:val="28"/>
          <w14:textFill>
            <w14:solidFill>
              <w14:schemeClr w14:val="tx1"/>
            </w14:solidFill>
          </w14:textFill>
        </w:rPr>
        <w:t>企业2家、省级绿色工厂2家、国家级绿色工厂2家。五年来，累计实施省市技改项目143个，我县被认定为河北省工业转型升级试点示范县、河北省创新县（市、区）建设试点。</w:t>
      </w:r>
      <w:r>
        <w:rPr>
          <w:rFonts w:hint="eastAsia" w:hAnsi="仿宋_GB2312"/>
          <w:b/>
          <w:color w:val="000000" w:themeColor="text1"/>
          <w:sz w:val="28"/>
          <w:szCs w:val="28"/>
          <w14:textFill>
            <w14:solidFill>
              <w14:schemeClr w14:val="tx1"/>
            </w14:solidFill>
          </w14:textFill>
        </w:rPr>
        <w:t>工业设计呈现亮点化。</w:t>
      </w:r>
      <w:r>
        <w:rPr>
          <w:rFonts w:hint="eastAsia" w:hAnsi="仿宋_GB2312"/>
          <w:color w:val="000000" w:themeColor="text1"/>
          <w:sz w:val="28"/>
          <w:szCs w:val="28"/>
          <w14:textFill>
            <w14:solidFill>
              <w14:schemeClr w14:val="tx1"/>
            </w14:solidFill>
          </w14:textFill>
        </w:rPr>
        <w:t>坚持以工业设计引领产业升级，全面推进与深圳工业设计行业深度合作，清河羊绒原创设计展示中心建成投用，羊绒小镇被工业和信息化部确定为纺织服装创意设计试点园区，</w:t>
      </w:r>
      <w:r>
        <w:rPr>
          <w:rFonts w:hint="eastAsia" w:ascii="Times New Roman" w:hAnsi="Times New Roman" w:cs="Times New Roman"/>
          <w:color w:val="000000" w:themeColor="text1"/>
          <w:sz w:val="28"/>
          <w:szCs w:val="28"/>
          <w14:textFill>
            <w14:solidFill>
              <w14:schemeClr w14:val="tx1"/>
            </w14:solidFill>
          </w14:textFill>
        </w:rPr>
        <w:t>红太公司列入全省工业设计“双百”计划培育企业名单，全省工业设计现场会在清河县召开。</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ascii="黑体" w:hAnsi="黑体" w:eastAsia="黑体"/>
          <w:b w:val="0"/>
          <w:bCs w:val="0"/>
          <w:color w:val="000000" w:themeColor="text1"/>
          <w:sz w:val="28"/>
          <w:szCs w:val="28"/>
          <w14:textFill>
            <w14:solidFill>
              <w14:schemeClr w14:val="tx1"/>
            </w14:solidFill>
          </w14:textFill>
        </w:rPr>
      </w:pPr>
      <w:bookmarkStart w:id="58" w:name="_Toc16984"/>
      <w:bookmarkStart w:id="59" w:name="_Toc2379"/>
      <w:bookmarkStart w:id="60" w:name="_Toc20102"/>
      <w:r>
        <w:rPr>
          <w:rFonts w:hint="eastAsia" w:ascii="黑体" w:hAnsi="黑体" w:eastAsia="黑体"/>
          <w:b w:val="0"/>
          <w:bCs w:val="0"/>
          <w:color w:val="000000" w:themeColor="text1"/>
          <w:sz w:val="28"/>
          <w:szCs w:val="28"/>
          <w14:textFill>
            <w14:solidFill>
              <w14:schemeClr w14:val="tx1"/>
            </w14:solidFill>
          </w14:textFill>
        </w:rPr>
        <w:t>五、</w:t>
      </w:r>
      <w:r>
        <w:rPr>
          <w:rFonts w:ascii="黑体" w:hAnsi="黑体" w:eastAsia="黑体"/>
          <w:b w:val="0"/>
          <w:bCs w:val="0"/>
          <w:color w:val="000000" w:themeColor="text1"/>
          <w:sz w:val="28"/>
          <w:szCs w:val="28"/>
          <w14:textFill>
            <w14:solidFill>
              <w14:schemeClr w14:val="tx1"/>
            </w14:solidFill>
          </w14:textFill>
        </w:rPr>
        <w:t>城乡建设持续加强</w:t>
      </w:r>
      <w:r>
        <w:rPr>
          <w:rFonts w:hint="eastAsia" w:ascii="黑体" w:hAnsi="黑体" w:eastAsia="黑体"/>
          <w:b w:val="0"/>
          <w:bCs w:val="0"/>
          <w:color w:val="000000" w:themeColor="text1"/>
          <w:sz w:val="28"/>
          <w:szCs w:val="28"/>
          <w14:textFill>
            <w14:solidFill>
              <w14:schemeClr w14:val="tx1"/>
            </w14:solidFill>
          </w14:textFill>
        </w:rPr>
        <w:t>，协调发展更加</w:t>
      </w:r>
      <w:bookmarkEnd w:id="58"/>
      <w:bookmarkEnd w:id="59"/>
      <w:r>
        <w:rPr>
          <w:rFonts w:hint="eastAsia" w:ascii="黑体" w:hAnsi="黑体" w:eastAsia="黑体"/>
          <w:b w:val="0"/>
          <w:bCs w:val="0"/>
          <w:color w:val="000000" w:themeColor="text1"/>
          <w:sz w:val="28"/>
          <w:szCs w:val="28"/>
          <w14:textFill>
            <w14:solidFill>
              <w14:schemeClr w14:val="tx1"/>
            </w14:solidFill>
          </w14:textFill>
        </w:rPr>
        <w:t>深入</w:t>
      </w:r>
      <w:bookmarkEnd w:id="60"/>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城市规模不断扩大。</w:t>
      </w:r>
      <w:r>
        <w:rPr>
          <w:rFonts w:hint="eastAsia" w:ascii="仿宋_GB2312" w:hAnsi="仿宋_GB2312" w:eastAsia="仿宋_GB2312" w:cs="仿宋_GB2312"/>
          <w:color w:val="000000" w:themeColor="text1"/>
          <w:sz w:val="28"/>
          <w:szCs w:val="28"/>
          <w14:textFill>
            <w14:solidFill>
              <w14:schemeClr w14:val="tx1"/>
            </w14:solidFill>
          </w14:textFill>
        </w:rPr>
        <w:t>全县城镇化水平进一步提升，县城建城区扩大至25.8平方公里，2020年全县户籍人口城镇化率达到</w:t>
      </w:r>
      <w:r>
        <w:rPr>
          <w:rFonts w:ascii="仿宋_GB2312" w:hAnsi="仿宋_GB2312" w:eastAsia="仿宋_GB2312" w:cs="仿宋_GB2312"/>
          <w:color w:val="000000" w:themeColor="text1"/>
          <w:sz w:val="28"/>
          <w:szCs w:val="28"/>
          <w14:textFill>
            <w14:solidFill>
              <w14:schemeClr w14:val="tx1"/>
            </w14:solidFill>
          </w14:textFill>
        </w:rPr>
        <w:t>49.76</w:t>
      </w:r>
      <w:r>
        <w:rPr>
          <w:rFonts w:hint="eastAsia" w:ascii="仿宋_GB2312" w:hAnsi="仿宋_GB2312" w:eastAsia="仿宋_GB2312" w:cs="仿宋_GB2312"/>
          <w:color w:val="000000" w:themeColor="text1"/>
          <w:sz w:val="28"/>
          <w:szCs w:val="28"/>
          <w14:textFill>
            <w14:solidFill>
              <w14:schemeClr w14:val="tx1"/>
            </w14:solidFill>
          </w14:textFill>
        </w:rPr>
        <w:t>％，常住人口城镇化率预计达到</w:t>
      </w:r>
      <w:r>
        <w:rPr>
          <w:rFonts w:ascii="仿宋_GB2312" w:hAnsi="仿宋_GB2312" w:eastAsia="仿宋_GB2312" w:cs="仿宋_GB2312"/>
          <w:color w:val="000000" w:themeColor="text1"/>
          <w:sz w:val="28"/>
          <w:szCs w:val="28"/>
          <w14:textFill>
            <w14:solidFill>
              <w14:schemeClr w14:val="tx1"/>
            </w14:solidFill>
          </w14:textFill>
        </w:rPr>
        <w:t>59.75</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b/>
          <w:bCs/>
          <w:color w:val="000000" w:themeColor="text1"/>
          <w:sz w:val="28"/>
          <w:szCs w:val="28"/>
          <w14:textFill>
            <w14:solidFill>
              <w14:schemeClr w14:val="tx1"/>
            </w14:solidFill>
          </w14:textFill>
        </w:rPr>
        <w:t>规划体系更加完善。</w:t>
      </w:r>
      <w:r>
        <w:rPr>
          <w:rFonts w:hint="eastAsia" w:ascii="仿宋_GB2312" w:hAnsi="仿宋_GB2312" w:eastAsia="仿宋_GB2312" w:cs="仿宋_GB2312"/>
          <w:color w:val="000000" w:themeColor="text1"/>
          <w:sz w:val="28"/>
          <w:szCs w:val="28"/>
          <w14:textFill>
            <w14:solidFill>
              <w14:schemeClr w14:val="tx1"/>
            </w14:solidFill>
          </w14:textFill>
        </w:rPr>
        <w:t>五年来，坚持规划先行，高水平编制规划，累计编制城乡总体规划、羊绒小镇控详规划等各类专项规划17项，国土空间规划形成“1+1+5+10”初步成果体系，高铁片区规划形成专家评审稿。</w:t>
      </w:r>
      <w:r>
        <w:rPr>
          <w:rFonts w:hint="eastAsia" w:ascii="仿宋_GB2312" w:hAnsi="仿宋_GB2312" w:eastAsia="仿宋_GB2312" w:cs="仿宋_GB2312"/>
          <w:b/>
          <w:bCs/>
          <w:color w:val="000000" w:themeColor="text1"/>
          <w:sz w:val="28"/>
          <w:szCs w:val="28"/>
          <w14:textFill>
            <w14:solidFill>
              <w14:schemeClr w14:val="tx1"/>
            </w14:solidFill>
          </w14:textFill>
        </w:rPr>
        <w:t>基础设施不断完善。</w:t>
      </w:r>
      <w:r>
        <w:rPr>
          <w:rFonts w:hint="eastAsia" w:ascii="仿宋_GB2312" w:hAnsi="仿宋_GB2312" w:eastAsia="仿宋_GB2312" w:cs="仿宋_GB2312"/>
          <w:color w:val="000000" w:themeColor="text1"/>
          <w:sz w:val="28"/>
          <w:szCs w:val="28"/>
          <w14:textFill>
            <w14:solidFill>
              <w14:schemeClr w14:val="tx1"/>
            </w14:solidFill>
          </w14:textFill>
        </w:rPr>
        <w:t>城区主要街道改扩建、集中供热、地表水厂、雨污分流、清水河区域生态综合治理等一批重大基础设施项目顺利实施，并发挥作用。</w:t>
      </w:r>
      <w:r>
        <w:rPr>
          <w:rFonts w:hint="eastAsia" w:ascii="仿宋_GB2312" w:hAnsi="仿宋_GB2312" w:eastAsia="仿宋_GB2312" w:cs="仿宋_GB2312"/>
          <w:b/>
          <w:bCs/>
          <w:color w:val="000000" w:themeColor="text1"/>
          <w:sz w:val="28"/>
          <w:szCs w:val="28"/>
          <w14:textFill>
            <w14:solidFill>
              <w14:schemeClr w14:val="tx1"/>
            </w14:solidFill>
          </w14:textFill>
        </w:rPr>
        <w:t>生活品位不断提升。</w:t>
      </w:r>
      <w:r>
        <w:rPr>
          <w:rFonts w:hint="eastAsia" w:ascii="仿宋_GB2312" w:hAnsi="仿宋_GB2312" w:eastAsia="仿宋_GB2312" w:cs="仿宋_GB2312"/>
          <w:color w:val="000000" w:themeColor="text1"/>
          <w:sz w:val="28"/>
          <w:szCs w:val="28"/>
          <w14:textFill>
            <w14:solidFill>
              <w14:schemeClr w14:val="tx1"/>
            </w14:solidFill>
          </w14:textFill>
        </w:rPr>
        <w:t>规划馆、图书馆、“花海水城”项目等一批精品亮点工程投入使用。运河小区、火车站小区等多个老旧小区改造工程顺利完成。30余个绿化项目先后实施，新增绿化面积160余万平方米，绿地率达38.4%。</w:t>
      </w:r>
      <w:r>
        <w:rPr>
          <w:rFonts w:hint="eastAsia" w:ascii="仿宋_GB2312" w:hAnsi="仿宋_GB2312" w:eastAsia="仿宋_GB2312" w:cs="仿宋_GB2312"/>
          <w:b/>
          <w:bCs/>
          <w:color w:val="000000" w:themeColor="text1"/>
          <w:sz w:val="28"/>
          <w:szCs w:val="28"/>
          <w14:textFill>
            <w14:solidFill>
              <w14:schemeClr w14:val="tx1"/>
            </w14:solidFill>
          </w14:textFill>
        </w:rPr>
        <w:t>智慧城市不断深化。</w:t>
      </w:r>
      <w:r>
        <w:rPr>
          <w:rFonts w:hint="eastAsia" w:ascii="仿宋_GB2312" w:hAnsi="仿宋_GB2312" w:eastAsia="仿宋_GB2312" w:cs="仿宋_GB2312"/>
          <w:color w:val="000000" w:themeColor="text1"/>
          <w:sz w:val="28"/>
          <w:szCs w:val="28"/>
          <w14:textFill>
            <w14:solidFill>
              <w14:schemeClr w14:val="tx1"/>
            </w14:solidFill>
          </w14:textFill>
        </w:rPr>
        <w:t>建成了清河智慧城市指挥中心，完成“时空清河”城市大脑框架构建，完成智慧城市二期工程，在</w:t>
      </w:r>
      <w:r>
        <w:rPr>
          <w:rFonts w:ascii="仿宋_GB2312" w:hAnsi="仿宋_GB2312" w:eastAsia="仿宋_GB2312" w:cs="仿宋_GB2312"/>
          <w:color w:val="000000" w:themeColor="text1"/>
          <w:sz w:val="28"/>
          <w:szCs w:val="28"/>
          <w14:textFill>
            <w14:solidFill>
              <w14:schemeClr w14:val="tx1"/>
            </w14:solidFill>
          </w14:textFill>
        </w:rPr>
        <w:t>2019年第十一届中国经济智慧城市大会获得优秀案例奖</w:t>
      </w:r>
      <w:r>
        <w:rPr>
          <w:rFonts w:hint="eastAsia" w:ascii="仿宋_GB2312" w:hAnsi="仿宋_GB2312" w:eastAsia="仿宋_GB2312" w:cs="仿宋_GB2312"/>
          <w:color w:val="000000" w:themeColor="text1"/>
          <w:sz w:val="28"/>
          <w:szCs w:val="28"/>
          <w14:textFill>
            <w14:solidFill>
              <w14:schemeClr w14:val="tx1"/>
            </w14:solidFill>
          </w14:textFill>
        </w:rPr>
        <w:t>，清河城市更“聪明”，更宜居。全县先后荣获“国家卫生县城”“省级文明县城”“省洁净城市”“河北省人居环境进步奖”“中国领军智慧城区”。</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美丽乡村建设扎实推进。</w:t>
      </w:r>
      <w:r>
        <w:rPr>
          <w:rFonts w:hint="eastAsia" w:ascii="仿宋_GB2312" w:hAnsi="仿宋_GB2312" w:eastAsia="仿宋_GB2312" w:cs="仿宋_GB2312"/>
          <w:color w:val="000000" w:themeColor="text1"/>
          <w:sz w:val="28"/>
          <w:szCs w:val="28"/>
          <w14:textFill>
            <w14:solidFill>
              <w14:schemeClr w14:val="tx1"/>
            </w14:solidFill>
          </w14:textFill>
        </w:rPr>
        <w:t>深入开展农村人居环境整治三年行动，城乡垃圾一体化扎实推进，农村垃圾无害化处理率达到100%。新改建农村公路61条106.5公里，全县322个村主街道硬化率达到100%。“双代”工程顺利实施，城乡居民全部实现清洁取暖。2019年被河北省确定为农村人居环境整治全域完成县。</w:t>
      </w:r>
      <w:r>
        <w:rPr>
          <w:rFonts w:hint="eastAsia" w:ascii="仿宋_GB2312" w:hAnsi="仿宋_GB2312" w:eastAsia="仿宋_GB2312" w:cs="仿宋_GB2312"/>
          <w:b/>
          <w:bCs/>
          <w:color w:val="000000" w:themeColor="text1"/>
          <w:sz w:val="28"/>
          <w:szCs w:val="28"/>
          <w14:textFill>
            <w14:solidFill>
              <w14:schemeClr w14:val="tx1"/>
            </w14:solidFill>
          </w14:textFill>
        </w:rPr>
        <w:t>农村改革深入推进。</w:t>
      </w:r>
      <w:r>
        <w:rPr>
          <w:rFonts w:hint="eastAsia" w:ascii="仿宋_GB2312" w:hAnsi="仿宋_GB2312" w:eastAsia="仿宋_GB2312" w:cs="仿宋_GB2312"/>
          <w:color w:val="000000" w:themeColor="text1"/>
          <w:sz w:val="28"/>
          <w:szCs w:val="28"/>
          <w14:textFill>
            <w14:solidFill>
              <w14:schemeClr w14:val="tx1"/>
            </w14:solidFill>
          </w14:textFill>
        </w:rPr>
        <w:t>稳步推进农村土地“三权分置”，完成农村土地承包经营权、宅基地使用权确权登记颁证工作，农村土地承包经营权纠纷调解仲裁工作实现全覆盖，土地流转面积14万亩。完成了农村集体产权制度改革，全县322个村全部成立股份经济合作社，村集体经济收入全部超5万元，我县被评为全省农村集体经济先进县。</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ascii="黑体" w:hAnsi="黑体" w:eastAsia="黑体"/>
          <w:b w:val="0"/>
          <w:bCs w:val="0"/>
          <w:color w:val="000000" w:themeColor="text1"/>
          <w:sz w:val="28"/>
          <w:szCs w:val="28"/>
          <w14:textFill>
            <w14:solidFill>
              <w14:schemeClr w14:val="tx1"/>
            </w14:solidFill>
          </w14:textFill>
        </w:rPr>
      </w:pPr>
      <w:bookmarkStart w:id="61" w:name="_Toc21735"/>
      <w:bookmarkStart w:id="62" w:name="_Toc11648"/>
      <w:bookmarkStart w:id="63" w:name="_Toc1086"/>
      <w:r>
        <w:rPr>
          <w:rFonts w:hint="eastAsia" w:ascii="黑体" w:hAnsi="黑体" w:eastAsia="黑体"/>
          <w:b w:val="0"/>
          <w:bCs w:val="0"/>
          <w:color w:val="000000" w:themeColor="text1"/>
          <w:sz w:val="28"/>
          <w:szCs w:val="28"/>
          <w14:textFill>
            <w14:solidFill>
              <w14:schemeClr w14:val="tx1"/>
            </w14:solidFill>
          </w14:textFill>
        </w:rPr>
        <w:t>六、深化改革取得突破，发展环境持续优化</w:t>
      </w:r>
      <w:bookmarkEnd w:id="61"/>
      <w:bookmarkEnd w:id="62"/>
      <w:bookmarkEnd w:id="63"/>
    </w:p>
    <w:p>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Ansi="仿宋_GB2312"/>
          <w:color w:val="000000" w:themeColor="text1"/>
          <w:sz w:val="28"/>
          <w:szCs w:val="28"/>
          <w14:textFill>
            <w14:solidFill>
              <w14:schemeClr w14:val="tx1"/>
            </w14:solidFill>
          </w14:textFill>
        </w:rPr>
      </w:pPr>
      <w:r>
        <w:rPr>
          <w:rFonts w:hint="eastAsia" w:hAnsi="仿宋_GB2312"/>
          <w:color w:val="000000" w:themeColor="text1"/>
          <w:sz w:val="28"/>
          <w:szCs w:val="28"/>
          <w14:textFill>
            <w14:solidFill>
              <w14:schemeClr w14:val="tx1"/>
            </w14:solidFill>
          </w14:textFill>
        </w:rPr>
        <w:t>“十三五”期间，我县始终坚持打造最优营商环境，被评为“全省优化营商环境推动高质量发展先进县”。</w:t>
      </w:r>
      <w:r>
        <w:rPr>
          <w:rFonts w:hint="eastAsia" w:hAnsi="仿宋_GB2312"/>
          <w:b/>
          <w:bCs/>
          <w:color w:val="000000" w:themeColor="text1"/>
          <w:sz w:val="28"/>
          <w:szCs w:val="28"/>
          <w14:textFill>
            <w14:solidFill>
              <w14:schemeClr w14:val="tx1"/>
            </w14:solidFill>
          </w14:textFill>
        </w:rPr>
        <w:t>改革创新服务方式，服务效能明显提升。</w:t>
      </w:r>
      <w:r>
        <w:rPr>
          <w:rFonts w:hint="eastAsia" w:hAnsi="仿宋_GB2312"/>
          <w:color w:val="000000" w:themeColor="text1"/>
          <w:sz w:val="28"/>
          <w:szCs w:val="28"/>
          <w14:textFill>
            <w14:solidFill>
              <w14:schemeClr w14:val="tx1"/>
            </w14:solidFill>
          </w14:textFill>
        </w:rPr>
        <w:t>优化审批流程，精简审批环节，80％审批事项实现“最多跑一次”，380项服务事项实现“不见面”办理。积极创建“无证明城市”，创新构建“三简三全” “全不见面”“一张网、无证明、一码通、全网办”新模式，证明事项由218项减少至86项，服务效率明显提升，多次被中央电视台报道。五年来，全县净增市场主体37577家，总数达67779家，万人市场主体拥有量位居全市第一。积极落实各类减负政策，五年共减税降费10.7亿元。</w:t>
      </w:r>
      <w:r>
        <w:rPr>
          <w:rFonts w:hint="eastAsia" w:hAnsi="仿宋_GB2312"/>
          <w:b/>
          <w:bCs/>
          <w:color w:val="000000" w:themeColor="text1"/>
          <w:sz w:val="28"/>
          <w:szCs w:val="28"/>
          <w14:textFill>
            <w14:solidFill>
              <w14:schemeClr w14:val="tx1"/>
            </w14:solidFill>
          </w14:textFill>
        </w:rPr>
        <w:t>改革创新金融服务，融资环境更加优化。</w:t>
      </w:r>
      <w:r>
        <w:rPr>
          <w:rFonts w:hint="eastAsia" w:hAnsi="仿宋_GB2312"/>
          <w:color w:val="000000" w:themeColor="text1"/>
          <w:sz w:val="28"/>
          <w:szCs w:val="28"/>
          <w14:textFill>
            <w14:solidFill>
              <w14:schemeClr w14:val="tx1"/>
            </w14:solidFill>
          </w14:textFill>
        </w:rPr>
        <w:t>整合涉企信息，建立线上“清易融”信用信息金融服务平台，线下“清河金融超市”银企对接更便利，创新实施“行长走工厂”“行长擂台赛”等行动，贷款难、贷款贵问题得到有效缓解。截至2020年底，全县贷款余额164.95亿元，年均增长21.54%，五年时间翻了一番多。</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ascii="黑体" w:hAnsi="黑体" w:eastAsia="黑体"/>
          <w:b w:val="0"/>
          <w:bCs w:val="0"/>
          <w:color w:val="000000" w:themeColor="text1"/>
          <w:sz w:val="28"/>
          <w:szCs w:val="28"/>
          <w14:textFill>
            <w14:solidFill>
              <w14:schemeClr w14:val="tx1"/>
            </w14:solidFill>
          </w14:textFill>
        </w:rPr>
      </w:pPr>
      <w:bookmarkStart w:id="64" w:name="_Toc2396"/>
      <w:bookmarkStart w:id="65" w:name="_Toc22067"/>
      <w:bookmarkStart w:id="66" w:name="_Toc27588"/>
      <w:r>
        <w:rPr>
          <w:rFonts w:hint="eastAsia" w:ascii="黑体" w:hAnsi="黑体" w:eastAsia="黑体"/>
          <w:b w:val="0"/>
          <w:bCs w:val="0"/>
          <w:color w:val="000000" w:themeColor="text1"/>
          <w:sz w:val="28"/>
          <w:szCs w:val="28"/>
          <w14:textFill>
            <w14:solidFill>
              <w14:schemeClr w14:val="tx1"/>
            </w14:solidFill>
          </w14:textFill>
        </w:rPr>
        <w:t>七、生态治理持续加强，环境状况明显改善</w:t>
      </w:r>
      <w:bookmarkEnd w:id="64"/>
      <w:bookmarkEnd w:id="65"/>
      <w:bookmarkEnd w:id="66"/>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大力实施“蓝天、碧水、净土”保卫行动，污染防治攻坚战取得良好成效。</w:t>
      </w:r>
    </w:p>
    <w:p>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2" w:firstLineChars="200"/>
        <w:jc w:val="both"/>
        <w:textAlignment w:val="auto"/>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空气质量持续好转</w:t>
      </w:r>
      <w:r>
        <w:rPr>
          <w:rFonts w:hint="eastAsia" w:ascii="仿宋_GB2312" w:hAnsi="仿宋_GB2312" w:eastAsia="仿宋_GB2312" w:cs="仿宋_GB2312"/>
          <w:color w:val="000000" w:themeColor="text1"/>
          <w:kern w:val="2"/>
          <w:sz w:val="28"/>
          <w:szCs w:val="28"/>
          <w14:textFill>
            <w14:solidFill>
              <w14:schemeClr w14:val="tx1"/>
            </w14:solidFill>
          </w14:textFill>
        </w:rPr>
        <w:t>。五年来，通过实施网格管理，加强人防技防，统筹综合治理，空气质量持续好转，蓝天白云已成常态。</w:t>
      </w:r>
      <w:bookmarkStart w:id="67" w:name="_Hlk63338856"/>
      <w:r>
        <w:rPr>
          <w:rFonts w:hint="eastAsia" w:ascii="仿宋_GB2312" w:hAnsi="仿宋_GB2312" w:eastAsia="仿宋_GB2312" w:cs="仿宋_GB2312"/>
          <w:color w:val="000000" w:themeColor="text1"/>
          <w:kern w:val="2"/>
          <w:sz w:val="28"/>
          <w:szCs w:val="28"/>
          <w14:textFill>
            <w14:solidFill>
              <w14:schemeClr w14:val="tx1"/>
            </w14:solidFill>
          </w14:textFill>
        </w:rPr>
        <w:t>2020年全县空气质量综合指数达</w:t>
      </w:r>
      <w:r>
        <w:rPr>
          <w:rFonts w:ascii="仿宋_GB2312" w:hAnsi="仿宋_GB2312" w:eastAsia="仿宋_GB2312" w:cs="仿宋_GB2312"/>
          <w:color w:val="000000" w:themeColor="text1"/>
          <w:kern w:val="2"/>
          <w:sz w:val="28"/>
          <w:szCs w:val="28"/>
          <w14:textFill>
            <w14:solidFill>
              <w14:schemeClr w14:val="tx1"/>
            </w14:solidFill>
          </w14:textFill>
        </w:rPr>
        <w:t>5.6</w:t>
      </w:r>
      <w:r>
        <w:rPr>
          <w:rFonts w:hint="eastAsia" w:ascii="仿宋_GB2312" w:hAnsi="仿宋_GB2312" w:eastAsia="仿宋_GB2312" w:cs="仿宋_GB2312"/>
          <w:color w:val="000000" w:themeColor="text1"/>
          <w:kern w:val="2"/>
          <w:sz w:val="28"/>
          <w:szCs w:val="28"/>
          <w14:textFill>
            <w14:solidFill>
              <w14:schemeClr w14:val="tx1"/>
            </w14:solidFill>
          </w14:textFill>
        </w:rPr>
        <w:t>，较2015年的</w:t>
      </w:r>
      <w:r>
        <w:rPr>
          <w:rFonts w:ascii="仿宋_GB2312" w:hAnsi="仿宋_GB2312" w:eastAsia="仿宋_GB2312" w:cs="仿宋_GB2312"/>
          <w:color w:val="000000" w:themeColor="text1"/>
          <w:kern w:val="2"/>
          <w:sz w:val="28"/>
          <w:szCs w:val="28"/>
          <w14:textFill>
            <w14:solidFill>
              <w14:schemeClr w14:val="tx1"/>
            </w14:solidFill>
          </w14:textFill>
        </w:rPr>
        <w:t>8.9</w:t>
      </w:r>
      <w:r>
        <w:rPr>
          <w:rFonts w:hint="eastAsia" w:ascii="仿宋_GB2312" w:hAnsi="仿宋_GB2312" w:eastAsia="仿宋_GB2312" w:cs="仿宋_GB2312"/>
          <w:color w:val="000000" w:themeColor="text1"/>
          <w:kern w:val="2"/>
          <w:sz w:val="28"/>
          <w:szCs w:val="28"/>
          <w14:textFill>
            <w14:solidFill>
              <w14:schemeClr w14:val="tx1"/>
            </w14:solidFill>
          </w14:textFill>
        </w:rPr>
        <w:t>改善了</w:t>
      </w:r>
      <w:r>
        <w:rPr>
          <w:rFonts w:ascii="仿宋_GB2312" w:hAnsi="仿宋_GB2312" w:eastAsia="仿宋_GB2312" w:cs="仿宋_GB2312"/>
          <w:color w:val="000000" w:themeColor="text1"/>
          <w:kern w:val="2"/>
          <w:sz w:val="28"/>
          <w:szCs w:val="28"/>
          <w14:textFill>
            <w14:solidFill>
              <w14:schemeClr w14:val="tx1"/>
            </w14:solidFill>
          </w14:textFill>
        </w:rPr>
        <w:t>37</w:t>
      </w:r>
      <w:r>
        <w:rPr>
          <w:rFonts w:hint="eastAsia" w:ascii="仿宋_GB2312" w:hAnsi="仿宋_GB2312" w:eastAsia="仿宋_GB2312" w:cs="仿宋_GB2312"/>
          <w:color w:val="000000" w:themeColor="text1"/>
          <w:kern w:val="2"/>
          <w:sz w:val="28"/>
          <w:szCs w:val="28"/>
          <w14:textFill>
            <w14:solidFill>
              <w14:schemeClr w14:val="tx1"/>
            </w14:solidFill>
          </w14:textFill>
        </w:rPr>
        <w:t>%；</w:t>
      </w:r>
      <w:bookmarkEnd w:id="67"/>
      <w:r>
        <w:rPr>
          <w:rFonts w:hint="eastAsia" w:ascii="仿宋_GB2312" w:hAnsi="仿宋_GB2312" w:eastAsia="仿宋_GB2312" w:cs="仿宋_GB2312"/>
          <w:color w:val="000000" w:themeColor="text1"/>
          <w:kern w:val="2"/>
          <w:sz w:val="28"/>
          <w:szCs w:val="28"/>
          <w14:textFill>
            <w14:solidFill>
              <w14:schemeClr w14:val="tx1"/>
            </w14:solidFill>
          </w14:textFill>
        </w:rPr>
        <w:t>PM2.5浓度为59微克/立方米，较2015年下降了47.3%；全年优良天数达到214天，较2015增加了110天。</w:t>
      </w:r>
    </w:p>
    <w:p>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2" w:firstLineChars="200"/>
        <w:jc w:val="both"/>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水体治理成效显著</w:t>
      </w:r>
      <w:r>
        <w:rPr>
          <w:rFonts w:hint="eastAsia" w:ascii="仿宋_GB2312" w:hAnsi="仿宋_GB2312" w:eastAsia="仿宋_GB2312" w:cs="仿宋_GB2312"/>
          <w:color w:val="000000" w:themeColor="text1"/>
          <w:kern w:val="2"/>
          <w:sz w:val="28"/>
          <w:szCs w:val="28"/>
          <w14:textFill>
            <w14:solidFill>
              <w14:schemeClr w14:val="tx1"/>
            </w14:solidFill>
          </w14:textFill>
        </w:rPr>
        <w:t>。认真落实“河长制”，实施水系建设，河渠连通；深入开展“清四乱”行动，水体治理成效显著。截至“十三五”末，我县河流断面指标除氨氮外，其余指标年均值均达到Ⅴ类水体要求，河流水质得到了明显改善；城区黑臭水体控制在10%以内。南水北调水源置换快速推进，水资源配置得到优化，提升了城镇饮水安全能力。城镇集中式饮用水水源水质达标率100%，农村集中饮用水水源水质达标比例为80%以上。地下水超采治理成效明显，深层地下水较2017年平均上升5.73米，我县被水利部评为全国县域节水型社会建设达标县。</w:t>
      </w:r>
    </w:p>
    <w:p>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2" w:firstLineChars="200"/>
        <w:jc w:val="both"/>
        <w:textAlignment w:val="auto"/>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b/>
          <w:bCs/>
          <w:color w:val="000000" w:themeColor="text1"/>
          <w:kern w:val="2"/>
          <w:sz w:val="28"/>
          <w:szCs w:val="28"/>
          <w14:textFill>
            <w14:solidFill>
              <w14:schemeClr w14:val="tx1"/>
            </w14:solidFill>
          </w14:textFill>
        </w:rPr>
        <w:t>土壤污染防治加强。</w:t>
      </w:r>
      <w:r>
        <w:rPr>
          <w:rFonts w:hint="eastAsia" w:ascii="仿宋_GB2312" w:hAnsi="仿宋_GB2312" w:eastAsia="仿宋_GB2312" w:cs="仿宋_GB2312"/>
          <w:color w:val="000000" w:themeColor="text1"/>
          <w:kern w:val="2"/>
          <w:sz w:val="28"/>
          <w:szCs w:val="28"/>
          <w14:textFill>
            <w14:solidFill>
              <w14:schemeClr w14:val="tx1"/>
            </w14:solidFill>
          </w14:textFill>
        </w:rPr>
        <w:t>完成农用地土壤污染状况详查和重点行业企业土壤污染状况信息采集，加强对土壤污染重点监管单位环境管理，加大企业固体废物和危险废物监管力度，同时积极推进受污染耕地治理修复。</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ascii="黑体" w:hAnsi="黑体" w:eastAsia="黑体"/>
          <w:b w:val="0"/>
          <w:bCs w:val="0"/>
          <w:color w:val="000000" w:themeColor="text1"/>
          <w:sz w:val="28"/>
          <w:szCs w:val="28"/>
          <w14:textFill>
            <w14:solidFill>
              <w14:schemeClr w14:val="tx1"/>
            </w14:solidFill>
          </w14:textFill>
        </w:rPr>
      </w:pPr>
      <w:bookmarkStart w:id="68" w:name="_Toc21764"/>
      <w:bookmarkStart w:id="69" w:name="_Toc8254"/>
      <w:bookmarkStart w:id="70" w:name="_Toc25076"/>
      <w:r>
        <w:rPr>
          <w:rFonts w:hint="eastAsia" w:ascii="黑体" w:hAnsi="黑体" w:eastAsia="黑体"/>
          <w:b w:val="0"/>
          <w:bCs w:val="0"/>
          <w:color w:val="000000" w:themeColor="text1"/>
          <w:sz w:val="28"/>
          <w:szCs w:val="28"/>
          <w14:textFill>
            <w14:solidFill>
              <w14:schemeClr w14:val="tx1"/>
            </w14:solidFill>
          </w14:textFill>
        </w:rPr>
        <w:t>八、民生福祉不断增进，人民生活</w:t>
      </w:r>
      <w:bookmarkEnd w:id="68"/>
      <w:bookmarkEnd w:id="69"/>
      <w:r>
        <w:rPr>
          <w:rFonts w:hint="eastAsia" w:ascii="黑体" w:hAnsi="黑体" w:eastAsia="黑体"/>
          <w:b w:val="0"/>
          <w:bCs w:val="0"/>
          <w:color w:val="000000" w:themeColor="text1"/>
          <w:sz w:val="28"/>
          <w:szCs w:val="28"/>
          <w14:textFill>
            <w14:solidFill>
              <w14:schemeClr w14:val="tx1"/>
            </w14:solidFill>
          </w14:textFill>
        </w:rPr>
        <w:t>更加幸福</w:t>
      </w:r>
      <w:bookmarkEnd w:id="70"/>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五年来，民生工作有力有效，累计落实民生投资101.3亿元，占全部财政预算支出的77.8%。</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脱贫攻坚精准推进。</w:t>
      </w:r>
      <w:r>
        <w:rPr>
          <w:rFonts w:hint="eastAsia" w:ascii="仿宋_GB2312" w:hAnsi="仿宋_GB2312" w:eastAsia="仿宋_GB2312" w:cs="仿宋_GB2312"/>
          <w:color w:val="000000" w:themeColor="text1"/>
          <w:sz w:val="28"/>
          <w:szCs w:val="28"/>
          <w14:textFill>
            <w14:solidFill>
              <w14:schemeClr w14:val="tx1"/>
            </w14:solidFill>
          </w14:textFill>
        </w:rPr>
        <w:t>全面贯彻脱贫防贫工作要求，持续加大扶贫投入力度，不断创新工作举措，全部实现“两不愁三保障”和饮水安全全覆盖、产业扶持全覆盖。全面打赢精准脱贫攻坚战，全县系统内建档立卡的4336户9555名农村贫困人口全部实现稳定脱贫。设立爱心超市、激发贫困户内生动力等做法，被新华社内参刊发。</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社会保障水平不断提升</w:t>
      </w:r>
      <w:r>
        <w:rPr>
          <w:rFonts w:hint="eastAsia" w:ascii="仿宋_GB2312" w:hAnsi="仿宋_GB2312" w:eastAsia="仿宋_GB2312" w:cs="仿宋_GB2312"/>
          <w:color w:val="000000" w:themeColor="text1"/>
          <w:sz w:val="28"/>
          <w:szCs w:val="28"/>
          <w14:textFill>
            <w14:solidFill>
              <w14:schemeClr w14:val="tx1"/>
            </w14:solidFill>
          </w14:textFill>
        </w:rPr>
        <w:t>。基本医疗保险、基本养老保险参保率分别达到99.96%、99.8%以上，长期护理保险制度全面推开，低保、特困实现应保尽保；各项保障标准逐年提高，城镇、农村低保保障标准较2015年分别提高49%和79%。社会保险待遇资格认证信息化比率、认证率实现双100%，实现与民政殡葬信息、卫生疾控信息等跨部门数据共享；建成“3+1智慧人社”信息化平台。全县城镇新增就业人数2.3万人，实现农村劳动力转移就业2.56万人，帮扶就业困难人员0.54万人，实现16-65周岁贫困劳动力就业17889人（次）。</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养老事业稳步发展。</w:t>
      </w:r>
      <w:r>
        <w:rPr>
          <w:rFonts w:hint="eastAsia" w:ascii="仿宋_GB2312" w:hAnsi="仿宋_GB2312" w:eastAsia="仿宋_GB2312" w:cs="仿宋_GB2312"/>
          <w:color w:val="000000" w:themeColor="text1"/>
          <w:sz w:val="28"/>
          <w:szCs w:val="28"/>
          <w14:textFill>
            <w14:solidFill>
              <w14:schemeClr w14:val="tx1"/>
            </w14:solidFill>
          </w14:textFill>
        </w:rPr>
        <w:t>积极探索开展医养结合、托养服务等新模式，养老服务体系不断完善，先后建成养老院17所，农村幸福院322所，千人养老床位数由2015年的30张增加至2020年的35张，基本实现养老服务全覆盖。</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医疗卫健亮点突出。</w:t>
      </w:r>
      <w:r>
        <w:rPr>
          <w:rFonts w:hint="eastAsia" w:ascii="仿宋_GB2312" w:hAnsi="仿宋_GB2312" w:eastAsia="仿宋_GB2312" w:cs="仿宋_GB2312"/>
          <w:color w:val="000000" w:themeColor="text1"/>
          <w:sz w:val="28"/>
          <w:szCs w:val="28"/>
          <w14:textFill>
            <w14:solidFill>
              <w14:schemeClr w14:val="tx1"/>
            </w14:solidFill>
          </w14:textFill>
        </w:rPr>
        <w:t>服务体系逐步健全，医疗水平进一步提高。县乡医疗质量同质化建设、乡村卫生健康服务一体化管理、家庭医生签约服务“13433”工作模式、医养结合、慢性病协同管理等亮点工作走到了全省前列，人民医院、中心医院双双跨入全国县级医院综合能力300强，我县先后被授予河北省健康促进试点县、河北省乡村卫生一体化管理试点县、河北省慢性病综合防控示范区等称号。</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教育质量持续提升。</w:t>
      </w:r>
      <w:r>
        <w:rPr>
          <w:rFonts w:hint="eastAsia" w:ascii="仿宋_GB2312" w:hAnsi="仿宋_GB2312" w:eastAsia="仿宋_GB2312" w:cs="仿宋_GB2312"/>
          <w:color w:val="000000" w:themeColor="text1"/>
          <w:sz w:val="28"/>
          <w:szCs w:val="28"/>
          <w14:textFill>
            <w14:solidFill>
              <w14:schemeClr w14:val="tx1"/>
            </w14:solidFill>
          </w14:textFill>
        </w:rPr>
        <w:t>加大投入力度，深化教学改革，不断提高教学质量；完成93所中小学校校舍新建、改扩建工程，共计100297平方米；适龄儿童义务教育巩固率达100%，顺利通过国家义务教育基本均衡发展验收，被认定为国家义务教育发展均衡县；在全市率先实行高中阶段免学费教育。</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文体事业蓬勃发展</w:t>
      </w:r>
      <w:r>
        <w:rPr>
          <w:rFonts w:hint="eastAsia" w:ascii="仿宋_GB2312" w:hAnsi="仿宋_GB2312" w:eastAsia="仿宋_GB2312" w:cs="仿宋_GB2312"/>
          <w:color w:val="000000" w:themeColor="text1"/>
          <w:sz w:val="28"/>
          <w:szCs w:val="28"/>
          <w14:textFill>
            <w14:solidFill>
              <w14:schemeClr w14:val="tx1"/>
            </w14:solidFill>
          </w14:textFill>
        </w:rPr>
        <w:t>。“十三五”期间，先后建成文化馆、图书馆、清河大剧院、赵立江文化大院、大运河武术非遗活动基地等一批文化基础设施，创新开展“一月一剧”“文化直通车”公益助演活动，成功举办全国京剧票友邀请赛、清河文化全国楹联大赛、清河大讲堂等品牌文化活动；全县3</w:t>
      </w:r>
      <w:r>
        <w:rPr>
          <w:rFonts w:ascii="仿宋_GB2312" w:hAnsi="仿宋_GB2312" w:eastAsia="仿宋_GB2312" w:cs="仿宋_GB2312"/>
          <w:color w:val="000000" w:themeColor="text1"/>
          <w:sz w:val="28"/>
          <w:szCs w:val="28"/>
          <w14:textFill>
            <w14:solidFill>
              <w14:schemeClr w14:val="tx1"/>
            </w14:solidFill>
          </w14:textFill>
        </w:rPr>
        <w:t>22</w:t>
      </w:r>
      <w:r>
        <w:rPr>
          <w:rFonts w:hint="eastAsia" w:ascii="仿宋_GB2312" w:hAnsi="仿宋_GB2312" w:eastAsia="仿宋_GB2312" w:cs="仿宋_GB2312"/>
          <w:color w:val="000000" w:themeColor="text1"/>
          <w:sz w:val="28"/>
          <w:szCs w:val="28"/>
          <w14:textFill>
            <w14:solidFill>
              <w14:schemeClr w14:val="tx1"/>
            </w14:solidFill>
          </w14:textFill>
        </w:rPr>
        <w:t>个村建成村级综合文化服务中心，顺利通过首批省级公共文化服务体系示范区建设验收。建成滑冰场、运动场、足球场等运动场所12所，完善城乡健身广场377处，全力推进冰雪运动，成功举办“首届冰雪运动会”，群众文化体育活动日益丰富。</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ascii="黑体" w:hAnsi="黑体" w:eastAsia="黑体"/>
          <w:b w:val="0"/>
          <w:bCs w:val="0"/>
          <w:color w:val="000000" w:themeColor="text1"/>
          <w:sz w:val="28"/>
          <w:szCs w:val="28"/>
          <w14:textFill>
            <w14:solidFill>
              <w14:schemeClr w14:val="tx1"/>
            </w14:solidFill>
          </w14:textFill>
        </w:rPr>
      </w:pPr>
      <w:bookmarkStart w:id="71" w:name="_Toc26866"/>
      <w:bookmarkStart w:id="72" w:name="_Toc32527"/>
      <w:bookmarkStart w:id="73" w:name="_Toc5337"/>
      <w:r>
        <w:rPr>
          <w:rFonts w:hint="eastAsia" w:ascii="黑体" w:hAnsi="黑体" w:eastAsia="黑体"/>
          <w:b w:val="0"/>
          <w:bCs w:val="0"/>
          <w:color w:val="000000" w:themeColor="text1"/>
          <w:sz w:val="28"/>
          <w:szCs w:val="28"/>
          <w14:textFill>
            <w14:solidFill>
              <w14:schemeClr w14:val="tx1"/>
            </w14:solidFill>
          </w14:textFill>
        </w:rPr>
        <w:t>九、社会大局和谐稳定，平安清河持续深化</w:t>
      </w:r>
      <w:bookmarkEnd w:id="71"/>
      <w:bookmarkEnd w:id="72"/>
      <w:bookmarkEnd w:id="73"/>
    </w:p>
    <w:p>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完善安全生产监管体系，建立安全生产“双控”机制。完善食药安全现代化治理体系，突出重点领域监管。健全矛盾纠纷排查化解机制，“鉴调一体”矛盾纠纷化解模式在全省推广，社会大局保持和谐稳定。深入推进新时代文明实践中心国家级试点建设，成功创建省级文明县城，社会文明程度不断提升。深入开展扫黑除恶专项斗争，取得良好成效，平安建设工作位居全市前列，被评为“全国法治县创建先进单位”。</w:t>
      </w:r>
    </w:p>
    <w:p>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ascii="仿宋_GB2312" w:hAnsi="Times New Roman"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特别是面对新冠疫情的冲击和挑战，广大医务工作者白衣执甲，奋战在抗疫一线，4名医护人员逆行出征，驰援武汉，为打赢武汉保卫战做出了清河贡献。全县党员干部冲锋在前、奋勇当先，广大公安干警、志愿者坚守岗位，投身前沿，社会各界义举善行，共同铸就了阻击疫情的钢铁防线，切实守护了人民群众生命安全和身体健康。</w:t>
      </w:r>
      <w:r>
        <w:rPr>
          <w:rFonts w:hint="eastAsia" w:ascii="仿宋_GB2312" w:hAnsi="Times New Roman" w:eastAsia="仿宋_GB2312"/>
          <w:color w:val="000000" w:themeColor="text1"/>
          <w:sz w:val="32"/>
          <w:szCs w:val="32"/>
          <w14:textFill>
            <w14:solidFill>
              <w14:schemeClr w14:val="tx1"/>
            </w14:solidFill>
          </w14:textFill>
        </w:rPr>
        <w:br w:type="page"/>
      </w:r>
    </w:p>
    <w:p>
      <w:pPr>
        <w:pStyle w:val="4"/>
        <w:keepNext w:val="0"/>
        <w:keepLines w:val="0"/>
        <w:pageBreakBefore w:val="0"/>
        <w:widowControl w:val="0"/>
        <w:numPr>
          <w:ilvl w:val="0"/>
          <w:numId w:val="1"/>
        </w:numPr>
        <w:kinsoku/>
        <w:wordWrap/>
        <w:overflowPunct/>
        <w:topLinePunct w:val="0"/>
        <w:autoSpaceDE/>
        <w:autoSpaceDN/>
        <w:bidi w:val="0"/>
        <w:spacing w:before="0" w:after="0" w:line="600" w:lineRule="exact"/>
        <w:jc w:val="center"/>
        <w:textAlignment w:val="auto"/>
        <w:rPr>
          <w:rFonts w:ascii="宋体" w:hAnsi="宋体" w:eastAsia="宋体" w:cs="宋体"/>
          <w:color w:val="000000" w:themeColor="text1"/>
          <w:sz w:val="36"/>
          <w:szCs w:val="20"/>
          <w14:textFill>
            <w14:solidFill>
              <w14:schemeClr w14:val="tx1"/>
            </w14:solidFill>
          </w14:textFill>
        </w:rPr>
      </w:pPr>
      <w:bookmarkStart w:id="74" w:name="_Toc6584"/>
      <w:bookmarkStart w:id="75" w:name="_Toc18291"/>
      <w:r>
        <w:rPr>
          <w:rFonts w:hint="eastAsia" w:ascii="宋体" w:hAnsi="宋体" w:eastAsia="宋体" w:cs="宋体"/>
          <w:color w:val="000000" w:themeColor="text1"/>
          <w:sz w:val="36"/>
          <w:szCs w:val="20"/>
          <w14:textFill>
            <w14:solidFill>
              <w14:schemeClr w14:val="tx1"/>
            </w14:solidFill>
          </w14:textFill>
        </w:rPr>
        <w:t xml:space="preserve"> </w:t>
      </w:r>
      <w:bookmarkStart w:id="76" w:name="_Toc2466"/>
      <w:r>
        <w:rPr>
          <w:rFonts w:hint="eastAsia" w:ascii="宋体" w:hAnsi="宋体" w:eastAsia="宋体" w:cs="宋体"/>
          <w:color w:val="000000" w:themeColor="text1"/>
          <w:sz w:val="36"/>
          <w:szCs w:val="20"/>
          <w14:textFill>
            <w14:solidFill>
              <w14:schemeClr w14:val="tx1"/>
            </w14:solidFill>
          </w14:textFill>
        </w:rPr>
        <w:t>“十四五”时期面临的机遇与挑战</w:t>
      </w:r>
      <w:bookmarkEnd w:id="74"/>
      <w:bookmarkEnd w:id="75"/>
      <w:bookmarkEnd w:id="76"/>
    </w:p>
    <w:p>
      <w:pPr>
        <w:keepNext w:val="0"/>
        <w:keepLines w:val="0"/>
        <w:pageBreakBefore w:val="0"/>
        <w:widowControl w:val="0"/>
        <w:kinsoku/>
        <w:wordWrap/>
        <w:overflowPunct/>
        <w:topLinePunct w:val="0"/>
        <w:autoSpaceDE/>
        <w:autoSpaceDN/>
        <w:bidi w:val="0"/>
        <w:textAlignment w:val="auto"/>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“十四五”时期，纵观国内外发展环境，清河发展既面临历史性新机遇，也面临新挑战。</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ascii="黑体" w:hAnsi="黑体" w:eastAsia="黑体"/>
          <w:b w:val="0"/>
          <w:bCs w:val="0"/>
          <w:color w:val="000000" w:themeColor="text1"/>
          <w:sz w:val="28"/>
          <w:szCs w:val="28"/>
          <w14:textFill>
            <w14:solidFill>
              <w14:schemeClr w14:val="tx1"/>
            </w14:solidFill>
          </w14:textFill>
        </w:rPr>
      </w:pPr>
      <w:bookmarkStart w:id="77" w:name="_Toc2514"/>
      <w:bookmarkStart w:id="78" w:name="_Toc24785"/>
      <w:bookmarkStart w:id="79" w:name="_Toc10567"/>
      <w:r>
        <w:rPr>
          <w:rFonts w:hint="eastAsia" w:ascii="黑体" w:hAnsi="黑体" w:eastAsia="黑体"/>
          <w:b w:val="0"/>
          <w:bCs w:val="0"/>
          <w:color w:val="000000" w:themeColor="text1"/>
          <w:sz w:val="28"/>
          <w:szCs w:val="28"/>
          <w14:textFill>
            <w14:solidFill>
              <w14:schemeClr w14:val="tx1"/>
            </w14:solidFill>
          </w14:textFill>
        </w:rPr>
        <w:t>一、面临机遇</w:t>
      </w:r>
      <w:bookmarkEnd w:id="77"/>
      <w:bookmarkEnd w:id="78"/>
      <w:bookmarkEnd w:id="79"/>
    </w:p>
    <w:p>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ascii="Times New Roman" w:hAnsi="Times New Roman" w:eastAsia="仿宋_GB2312" w:cs="Times New Roman"/>
          <w:color w:val="000000" w:themeColor="text1"/>
          <w:kern w:val="2"/>
          <w:sz w:val="28"/>
          <w:szCs w:val="28"/>
          <w14:textFill>
            <w14:solidFill>
              <w14:schemeClr w14:val="tx1"/>
            </w14:solidFill>
          </w14:textFill>
        </w:rPr>
      </w:pPr>
      <w:r>
        <w:rPr>
          <w:rFonts w:hint="eastAsia" w:ascii="Times New Roman" w:hAnsi="Times New Roman" w:eastAsia="仿宋_GB2312" w:cs="Times New Roman"/>
          <w:color w:val="000000" w:themeColor="text1"/>
          <w:kern w:val="2"/>
          <w:sz w:val="28"/>
          <w:szCs w:val="28"/>
          <w14:textFill>
            <w14:solidFill>
              <w14:schemeClr w14:val="tx1"/>
            </w14:solidFill>
          </w14:textFill>
        </w:rPr>
        <w:t>“</w:t>
      </w:r>
      <w:r>
        <w:rPr>
          <w:rFonts w:ascii="Times New Roman" w:hAnsi="Times New Roman" w:eastAsia="仿宋_GB2312" w:cs="Times New Roman"/>
          <w:color w:val="000000" w:themeColor="text1"/>
          <w:kern w:val="2"/>
          <w:sz w:val="28"/>
          <w:szCs w:val="28"/>
          <w14:textFill>
            <w14:solidFill>
              <w14:schemeClr w14:val="tx1"/>
            </w14:solidFill>
          </w14:textFill>
        </w:rPr>
        <w:t>十四五</w:t>
      </w:r>
      <w:r>
        <w:rPr>
          <w:rFonts w:hint="eastAsia" w:ascii="Times New Roman" w:hAnsi="Times New Roman" w:eastAsia="仿宋_GB2312" w:cs="Times New Roman"/>
          <w:color w:val="000000" w:themeColor="text1"/>
          <w:kern w:val="2"/>
          <w:sz w:val="28"/>
          <w:szCs w:val="28"/>
          <w14:textFill>
            <w14:solidFill>
              <w14:schemeClr w14:val="tx1"/>
            </w14:solidFill>
          </w14:textFill>
        </w:rPr>
        <w:t>”</w:t>
      </w:r>
      <w:r>
        <w:rPr>
          <w:rFonts w:ascii="Times New Roman" w:hAnsi="Times New Roman" w:eastAsia="仿宋_GB2312" w:cs="Times New Roman"/>
          <w:color w:val="000000" w:themeColor="text1"/>
          <w:kern w:val="2"/>
          <w:sz w:val="28"/>
          <w:szCs w:val="28"/>
          <w14:textFill>
            <w14:solidFill>
              <w14:schemeClr w14:val="tx1"/>
            </w14:solidFill>
          </w14:textFill>
        </w:rPr>
        <w:t>时期</w:t>
      </w:r>
      <w:r>
        <w:rPr>
          <w:rFonts w:hint="eastAsia" w:ascii="Times New Roman" w:hAnsi="Times New Roman" w:eastAsia="仿宋_GB2312" w:cs="Times New Roman"/>
          <w:color w:val="000000" w:themeColor="text1"/>
          <w:kern w:val="2"/>
          <w:sz w:val="28"/>
          <w:szCs w:val="28"/>
          <w14:textFill>
            <w14:solidFill>
              <w14:schemeClr w14:val="tx1"/>
            </w14:solidFill>
          </w14:textFill>
        </w:rPr>
        <w:t>，</w:t>
      </w:r>
      <w:r>
        <w:rPr>
          <w:rFonts w:ascii="Times New Roman" w:hAnsi="Times New Roman" w:eastAsia="仿宋_GB2312" w:cs="Times New Roman"/>
          <w:color w:val="000000" w:themeColor="text1"/>
          <w:kern w:val="2"/>
          <w:sz w:val="28"/>
          <w:szCs w:val="28"/>
          <w14:textFill>
            <w14:solidFill>
              <w14:schemeClr w14:val="tx1"/>
            </w14:solidFill>
          </w14:textFill>
        </w:rPr>
        <w:t>将是</w:t>
      </w:r>
      <w:r>
        <w:rPr>
          <w:rFonts w:hint="eastAsia" w:ascii="Times New Roman" w:hAnsi="Times New Roman" w:eastAsia="仿宋_GB2312" w:cs="Times New Roman"/>
          <w:color w:val="000000" w:themeColor="text1"/>
          <w:kern w:val="2"/>
          <w:sz w:val="28"/>
          <w:szCs w:val="28"/>
          <w14:textFill>
            <w14:solidFill>
              <w14:schemeClr w14:val="tx1"/>
            </w14:solidFill>
          </w14:textFill>
        </w:rPr>
        <w:t>清河</w:t>
      </w:r>
      <w:r>
        <w:rPr>
          <w:rFonts w:ascii="Times New Roman" w:hAnsi="Times New Roman" w:eastAsia="仿宋_GB2312" w:cs="Times New Roman"/>
          <w:color w:val="000000" w:themeColor="text1"/>
          <w:kern w:val="2"/>
          <w:sz w:val="28"/>
          <w:szCs w:val="28"/>
          <w14:textFill>
            <w14:solidFill>
              <w14:schemeClr w14:val="tx1"/>
            </w14:solidFill>
          </w14:textFill>
        </w:rPr>
        <w:t>县大有可为的战略机遇期和高质量赶超发展的窗口期。</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一是</w:t>
      </w:r>
      <w:r>
        <w:rPr>
          <w:rFonts w:ascii="Times New Roman" w:hAnsi="Times New Roman" w:eastAsia="仿宋_GB2312" w:cs="Times New Roman"/>
          <w:color w:val="000000" w:themeColor="text1"/>
          <w:sz w:val="28"/>
          <w:szCs w:val="28"/>
          <w14:textFill>
            <w14:solidFill>
              <w14:schemeClr w14:val="tx1"/>
            </w14:solidFill>
          </w14:textFill>
        </w:rPr>
        <w:t>新一轮科技革命和产业变革向纵深推进，为清河催生新的经济增长动能，实现创新发展、弯道超车提供了难得机遇。</w:t>
      </w:r>
      <w:r>
        <w:rPr>
          <w:rFonts w:ascii="Times New Roman" w:hAnsi="Times New Roman" w:eastAsia="仿宋_GB2312" w:cs="Times New Roman"/>
          <w:b/>
          <w:bCs/>
          <w:color w:val="000000" w:themeColor="text1"/>
          <w:sz w:val="28"/>
          <w:szCs w:val="28"/>
          <w14:textFill>
            <w14:solidFill>
              <w14:schemeClr w14:val="tx1"/>
            </w14:solidFill>
          </w14:textFill>
        </w:rPr>
        <w:t>二是</w:t>
      </w:r>
      <w:r>
        <w:rPr>
          <w:rFonts w:ascii="Times New Roman" w:hAnsi="Times New Roman" w:eastAsia="仿宋_GB2312" w:cs="Times New Roman"/>
          <w:color w:val="000000" w:themeColor="text1"/>
          <w:sz w:val="28"/>
          <w:szCs w:val="28"/>
          <w14:textFill>
            <w14:solidFill>
              <w14:schemeClr w14:val="tx1"/>
            </w14:solidFill>
          </w14:textFill>
        </w:rPr>
        <w:t>全球价值链加速重构，为清河承接产业转移，实现转型升级，迈向产业链中高端提供了重要契机。</w:t>
      </w:r>
      <w:r>
        <w:rPr>
          <w:rFonts w:ascii="Times New Roman" w:hAnsi="Times New Roman" w:eastAsia="仿宋_GB2312" w:cs="Times New Roman"/>
          <w:b/>
          <w:bCs/>
          <w:color w:val="000000" w:themeColor="text1"/>
          <w:sz w:val="28"/>
          <w:szCs w:val="28"/>
          <w14:textFill>
            <w14:solidFill>
              <w14:schemeClr w14:val="tx1"/>
            </w14:solidFill>
          </w14:textFill>
        </w:rPr>
        <w:t>三是</w:t>
      </w:r>
      <w:r>
        <w:rPr>
          <w:rFonts w:ascii="Times New Roman" w:hAnsi="Times New Roman" w:eastAsia="仿宋_GB2312" w:cs="Times New Roman"/>
          <w:color w:val="000000" w:themeColor="text1"/>
          <w:sz w:val="28"/>
          <w:szCs w:val="28"/>
          <w14:textFill>
            <w14:solidFill>
              <w14:schemeClr w14:val="tx1"/>
            </w14:solidFill>
          </w14:textFill>
        </w:rPr>
        <w:t>“以国内大循环为主体、国内国际双循环相互促进”的新发展格局，将进一步激发国内的投资和消费活力，投资尤其是新基建将会为清河</w:t>
      </w:r>
      <w:r>
        <w:rPr>
          <w:rFonts w:hint="eastAsia" w:ascii="Times New Roman" w:hAnsi="Times New Roman" w:eastAsia="仿宋_GB2312" w:cs="Times New Roman"/>
          <w:color w:val="000000" w:themeColor="text1"/>
          <w:sz w:val="28"/>
          <w:szCs w:val="28"/>
          <w14:textFill>
            <w14:solidFill>
              <w14:schemeClr w14:val="tx1"/>
            </w14:solidFill>
          </w14:textFill>
        </w:rPr>
        <w:t>特色产业</w:t>
      </w:r>
      <w:r>
        <w:rPr>
          <w:rFonts w:ascii="Times New Roman" w:hAnsi="Times New Roman" w:eastAsia="仿宋_GB2312" w:cs="Times New Roman"/>
          <w:color w:val="000000" w:themeColor="text1"/>
          <w:sz w:val="28"/>
          <w:szCs w:val="28"/>
          <w14:textFill>
            <w14:solidFill>
              <w14:schemeClr w14:val="tx1"/>
            </w14:solidFill>
          </w14:textFill>
        </w:rPr>
        <w:t>带来发展机遇，扩大消费将会为清河本土品牌崛起提供机会。</w:t>
      </w:r>
      <w:r>
        <w:rPr>
          <w:rFonts w:ascii="Times New Roman" w:hAnsi="Times New Roman" w:eastAsia="仿宋_GB2312" w:cs="Times New Roman"/>
          <w:b/>
          <w:bCs/>
          <w:color w:val="000000" w:themeColor="text1"/>
          <w:sz w:val="28"/>
          <w:szCs w:val="28"/>
          <w14:textFill>
            <w14:solidFill>
              <w14:schemeClr w14:val="tx1"/>
            </w14:solidFill>
          </w14:textFill>
        </w:rPr>
        <w:t>四是</w:t>
      </w:r>
      <w:r>
        <w:rPr>
          <w:rFonts w:ascii="Times New Roman" w:hAnsi="Times New Roman" w:eastAsia="仿宋_GB2312" w:cs="Times New Roman"/>
          <w:color w:val="000000" w:themeColor="text1"/>
          <w:sz w:val="28"/>
          <w:szCs w:val="28"/>
          <w14:textFill>
            <w14:solidFill>
              <w14:schemeClr w14:val="tx1"/>
            </w14:solidFill>
          </w14:textFill>
        </w:rPr>
        <w:t>京津冀协同发展和雄安新区加快建设，</w:t>
      </w:r>
      <w:r>
        <w:rPr>
          <w:rFonts w:hint="eastAsia" w:ascii="Times New Roman" w:hAnsi="Times New Roman" w:eastAsia="仿宋_GB2312" w:cs="Times New Roman"/>
          <w:color w:val="000000" w:themeColor="text1"/>
          <w:sz w:val="28"/>
          <w:szCs w:val="28"/>
          <w14:textFill>
            <w14:solidFill>
              <w14:schemeClr w14:val="tx1"/>
            </w14:solidFill>
          </w14:textFill>
        </w:rPr>
        <w:t>为清河承接产业转移、开展区域间产能合作提供了重要机遇。</w:t>
      </w:r>
      <w:r>
        <w:rPr>
          <w:rFonts w:hint="eastAsia" w:ascii="仿宋_GB2312" w:hAnsi="Times New Roman" w:eastAsia="仿宋_GB2312" w:cs="宋体"/>
          <w:b/>
          <w:color w:val="000000" w:themeColor="text1"/>
          <w:kern w:val="0"/>
          <w:sz w:val="28"/>
          <w:szCs w:val="28"/>
          <w14:textFill>
            <w14:solidFill>
              <w14:schemeClr w14:val="tx1"/>
            </w14:solidFill>
          </w14:textFill>
        </w:rPr>
        <w:t>五是</w:t>
      </w:r>
      <w:r>
        <w:rPr>
          <w:rFonts w:hint="eastAsia" w:ascii="Times New Roman" w:hAnsi="Times New Roman" w:eastAsia="仿宋_GB2312" w:cs="Times New Roman"/>
          <w:color w:val="000000" w:themeColor="text1"/>
          <w:sz w:val="28"/>
          <w:szCs w:val="28"/>
          <w14:textFill>
            <w14:solidFill>
              <w14:schemeClr w14:val="tx1"/>
            </w14:solidFill>
          </w14:textFill>
        </w:rPr>
        <w:t>雄商高铁的开工建设运营及清河设站，将为清河搭建直通雄安、沟通南北的区位交通优势，将会有力推动清河进一步对接雄安新区建设，承接京津冀产业转移。</w:t>
      </w:r>
      <w:r>
        <w:rPr>
          <w:rFonts w:hint="eastAsia" w:ascii="仿宋_GB2312" w:hAnsi="Times New Roman" w:eastAsia="仿宋_GB2312" w:cs="宋体"/>
          <w:b/>
          <w:color w:val="000000" w:themeColor="text1"/>
          <w:kern w:val="0"/>
          <w:sz w:val="28"/>
          <w:szCs w:val="28"/>
          <w14:textFill>
            <w14:solidFill>
              <w14:schemeClr w14:val="tx1"/>
            </w14:solidFill>
          </w14:textFill>
        </w:rPr>
        <w:t>六是</w:t>
      </w:r>
      <w:r>
        <w:rPr>
          <w:rFonts w:hint="eastAsia" w:ascii="仿宋_GB2312" w:hAnsi="Times New Roman" w:eastAsia="仿宋_GB2312" w:cs="宋体"/>
          <w:bCs/>
          <w:color w:val="000000" w:themeColor="text1"/>
          <w:kern w:val="0"/>
          <w:sz w:val="28"/>
          <w:szCs w:val="28"/>
          <w14:textFill>
            <w14:solidFill>
              <w14:schemeClr w14:val="tx1"/>
            </w14:solidFill>
          </w14:textFill>
        </w:rPr>
        <w:t>国家《</w:t>
      </w:r>
      <w:r>
        <w:rPr>
          <w:rFonts w:hint="eastAsia" w:ascii="Times New Roman" w:hAnsi="Times New Roman" w:eastAsia="仿宋_GB2312" w:cs="Times New Roman"/>
          <w:bCs/>
          <w:color w:val="000000" w:themeColor="text1"/>
          <w:sz w:val="28"/>
          <w:szCs w:val="28"/>
          <w14:textFill>
            <w14:solidFill>
              <w14:schemeClr w14:val="tx1"/>
            </w14:solidFill>
          </w14:textFill>
        </w:rPr>
        <w:t>大运河文化保护传承利用规划纲要</w:t>
      </w:r>
      <w:r>
        <w:rPr>
          <w:rFonts w:hint="eastAsia" w:ascii="仿宋_GB2312" w:hAnsi="Times New Roman" w:eastAsia="仿宋_GB2312" w:cs="宋体"/>
          <w:bCs/>
          <w:color w:val="000000" w:themeColor="text1"/>
          <w:kern w:val="0"/>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14:textFill>
            <w14:solidFill>
              <w14:schemeClr w14:val="tx1"/>
            </w14:solidFill>
          </w14:textFill>
        </w:rPr>
        <w:t>推进实施，将为清河经济社会和文化事业发展带来战略机遇。</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ascii="黑体" w:hAnsi="黑体" w:eastAsia="黑体"/>
          <w:b w:val="0"/>
          <w:bCs w:val="0"/>
          <w:color w:val="000000" w:themeColor="text1"/>
          <w:sz w:val="28"/>
          <w:szCs w:val="28"/>
          <w14:textFill>
            <w14:solidFill>
              <w14:schemeClr w14:val="tx1"/>
            </w14:solidFill>
          </w14:textFill>
        </w:rPr>
      </w:pPr>
      <w:bookmarkStart w:id="80" w:name="_Toc25082"/>
      <w:bookmarkStart w:id="81" w:name="_Toc7464"/>
      <w:bookmarkStart w:id="82" w:name="_Toc20961"/>
      <w:r>
        <w:rPr>
          <w:rFonts w:hint="eastAsia" w:ascii="黑体" w:hAnsi="黑体" w:eastAsia="黑体"/>
          <w:b w:val="0"/>
          <w:bCs w:val="0"/>
          <w:color w:val="000000" w:themeColor="text1"/>
          <w:sz w:val="28"/>
          <w:szCs w:val="28"/>
          <w14:textFill>
            <w14:solidFill>
              <w14:schemeClr w14:val="tx1"/>
            </w14:solidFill>
          </w14:textFill>
        </w:rPr>
        <w:t>二、严峻挑战</w:t>
      </w:r>
      <w:bookmarkEnd w:id="80"/>
      <w:bookmarkEnd w:id="81"/>
      <w:bookmarkEnd w:id="82"/>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在看到有利条件的同时，必须清醒地认识到，未来五年，清河县经济社会发展还面临着许多矛盾和挑战。</w:t>
      </w:r>
      <w:r>
        <w:rPr>
          <w:rFonts w:hint="eastAsia" w:ascii="Times New Roman" w:hAnsi="Times New Roman" w:eastAsia="仿宋_GB2312" w:cs="Times New Roman"/>
          <w:b/>
          <w:bCs/>
          <w:color w:val="000000" w:themeColor="text1"/>
          <w:sz w:val="28"/>
          <w:szCs w:val="28"/>
          <w14:textFill>
            <w14:solidFill>
              <w14:schemeClr w14:val="tx1"/>
            </w14:solidFill>
          </w14:textFill>
        </w:rPr>
        <w:t>一是</w:t>
      </w:r>
      <w:r>
        <w:rPr>
          <w:rFonts w:hint="eastAsia" w:ascii="Times New Roman" w:hAnsi="Times New Roman" w:eastAsia="仿宋_GB2312" w:cs="Times New Roman"/>
          <w:color w:val="000000" w:themeColor="text1"/>
          <w:sz w:val="28"/>
          <w:szCs w:val="28"/>
          <w14:textFill>
            <w14:solidFill>
              <w14:schemeClr w14:val="tx1"/>
            </w14:solidFill>
          </w14:textFill>
        </w:rPr>
        <w:t>全球经贸格局巨变、贸易紧张关系升级和政策不确定性增加，不利于清河进一步扩大对外经贸合作。</w:t>
      </w:r>
      <w:r>
        <w:rPr>
          <w:rFonts w:hint="eastAsia" w:ascii="Times New Roman" w:hAnsi="Times New Roman" w:eastAsia="仿宋_GB2312" w:cs="Times New Roman"/>
          <w:b/>
          <w:bCs/>
          <w:color w:val="000000" w:themeColor="text1"/>
          <w:sz w:val="28"/>
          <w:szCs w:val="28"/>
          <w14:textFill>
            <w14:solidFill>
              <w14:schemeClr w14:val="tx1"/>
            </w14:solidFill>
          </w14:textFill>
        </w:rPr>
        <w:t>二是</w:t>
      </w:r>
      <w:r>
        <w:rPr>
          <w:rFonts w:hint="eastAsia" w:ascii="Times New Roman" w:hAnsi="Times New Roman" w:eastAsia="仿宋_GB2312" w:cs="Times New Roman"/>
          <w:color w:val="000000" w:themeColor="text1"/>
          <w:sz w:val="28"/>
          <w:szCs w:val="28"/>
          <w14:textFill>
            <w14:solidFill>
              <w14:schemeClr w14:val="tx1"/>
            </w14:solidFill>
          </w14:textFill>
        </w:rPr>
        <w:t>世界经济低迷、全球市场萎缩、新冠肺炎疫情对世界经济影响仍将持续，清河拓展海外市场，发展开放型经济面临巨大挑战。</w:t>
      </w:r>
      <w:r>
        <w:rPr>
          <w:rFonts w:hint="eastAsia" w:ascii="Times New Roman" w:hAnsi="Times New Roman" w:eastAsia="仿宋_GB2312" w:cs="Times New Roman"/>
          <w:b/>
          <w:bCs/>
          <w:color w:val="000000" w:themeColor="text1"/>
          <w:sz w:val="28"/>
          <w:szCs w:val="28"/>
          <w14:textFill>
            <w14:solidFill>
              <w14:schemeClr w14:val="tx1"/>
            </w14:solidFill>
          </w14:textFill>
        </w:rPr>
        <w:t>三是</w:t>
      </w:r>
      <w:r>
        <w:rPr>
          <w:rFonts w:hint="eastAsia" w:ascii="Times New Roman" w:hAnsi="Times New Roman" w:eastAsia="仿宋_GB2312" w:cs="Times New Roman"/>
          <w:color w:val="000000" w:themeColor="text1"/>
          <w:sz w:val="28"/>
          <w:szCs w:val="28"/>
          <w14:textFill>
            <w14:solidFill>
              <w14:schemeClr w14:val="tx1"/>
            </w14:solidFill>
          </w14:textFill>
        </w:rPr>
        <w:t>加快转型升级的任务艰巨。我县经济总量不够大，产业升级速度需要加快，高质量招商选资需要有大突破；高科技人才和技能人才紧缺，科技创新能力不足，产业科技水平较低；传统支柱产业面临巨大压力，新的经济增长点还未形成，调整产业结构、加快转型升级的任务越来越迫切。</w:t>
      </w:r>
      <w:r>
        <w:rPr>
          <w:rFonts w:hint="eastAsia" w:ascii="Times New Roman" w:hAnsi="Times New Roman" w:eastAsia="仿宋_GB2312" w:cs="Times New Roman"/>
          <w:b/>
          <w:bCs/>
          <w:color w:val="000000" w:themeColor="text1"/>
          <w:sz w:val="28"/>
          <w:szCs w:val="28"/>
          <w14:textFill>
            <w14:solidFill>
              <w14:schemeClr w14:val="tx1"/>
            </w14:solidFill>
          </w14:textFill>
        </w:rPr>
        <w:t>四是</w:t>
      </w:r>
      <w:r>
        <w:rPr>
          <w:rFonts w:hint="eastAsia" w:ascii="Times New Roman" w:hAnsi="Times New Roman" w:eastAsia="仿宋_GB2312" w:cs="Times New Roman"/>
          <w:color w:val="000000" w:themeColor="text1"/>
          <w:sz w:val="28"/>
          <w:szCs w:val="28"/>
          <w14:textFill>
            <w14:solidFill>
              <w14:schemeClr w14:val="tx1"/>
            </w14:solidFill>
          </w14:textFill>
        </w:rPr>
        <w:t>城乡发展不够协调。城乡建设仍需改善，城乡基础设施不够均衡；农业发展短板仍然较多，农业结构调整速度需要加快，新农村建设任务艰巨而紧迫。</w:t>
      </w:r>
      <w:r>
        <w:rPr>
          <w:rFonts w:hint="eastAsia" w:ascii="Times New Roman" w:hAnsi="Times New Roman" w:eastAsia="仿宋_GB2312" w:cs="Times New Roman"/>
          <w:b/>
          <w:bCs/>
          <w:color w:val="000000" w:themeColor="text1"/>
          <w:sz w:val="28"/>
          <w:szCs w:val="28"/>
          <w14:textFill>
            <w14:solidFill>
              <w14:schemeClr w14:val="tx1"/>
            </w14:solidFill>
          </w14:textFill>
        </w:rPr>
        <w:t>五是</w:t>
      </w:r>
      <w:r>
        <w:rPr>
          <w:rFonts w:hint="eastAsia" w:ascii="Times New Roman" w:hAnsi="Times New Roman" w:eastAsia="仿宋_GB2312" w:cs="Times New Roman"/>
          <w:color w:val="000000" w:themeColor="text1"/>
          <w:sz w:val="28"/>
          <w:szCs w:val="28"/>
          <w14:textFill>
            <w14:solidFill>
              <w14:schemeClr w14:val="tx1"/>
            </w14:solidFill>
          </w14:textFill>
        </w:rPr>
        <w:t>保障和改善民生任务繁重。人民群众的多样化、多层次公共服务需求日益增长，供求矛盾依然存在，统筹协调各方面的利益关系难度较大。</w:t>
      </w:r>
      <w:r>
        <w:rPr>
          <w:rFonts w:hint="eastAsia" w:ascii="Times New Roman" w:hAnsi="Times New Roman" w:eastAsia="仿宋_GB2312" w:cs="Times New Roman"/>
          <w:b/>
          <w:bCs/>
          <w:color w:val="000000" w:themeColor="text1"/>
          <w:sz w:val="28"/>
          <w:szCs w:val="28"/>
          <w14:textFill>
            <w14:solidFill>
              <w14:schemeClr w14:val="tx1"/>
            </w14:solidFill>
          </w14:textFill>
        </w:rPr>
        <w:t>六是</w:t>
      </w:r>
      <w:r>
        <w:rPr>
          <w:rFonts w:hint="eastAsia" w:ascii="Times New Roman" w:hAnsi="Times New Roman" w:eastAsia="仿宋_GB2312" w:cs="Times New Roman"/>
          <w:color w:val="000000" w:themeColor="text1"/>
          <w:sz w:val="28"/>
          <w:szCs w:val="28"/>
          <w14:textFill>
            <w14:solidFill>
              <w14:schemeClr w14:val="tx1"/>
            </w14:solidFill>
          </w14:textFill>
        </w:rPr>
        <w:t>生态环境尚待优化。大气污染防治、水污染治理压力持续。</w:t>
      </w:r>
      <w:r>
        <w:rPr>
          <w:rFonts w:hint="eastAsia" w:ascii="Times New Roman" w:hAnsi="Times New Roman" w:eastAsia="仿宋_GB2312" w:cs="Times New Roman"/>
          <w:b/>
          <w:bCs/>
          <w:color w:val="000000" w:themeColor="text1"/>
          <w:sz w:val="28"/>
          <w:szCs w:val="28"/>
          <w14:textFill>
            <w14:solidFill>
              <w14:schemeClr w14:val="tx1"/>
            </w14:solidFill>
          </w14:textFill>
        </w:rPr>
        <w:t>七是</w:t>
      </w:r>
      <w:r>
        <w:rPr>
          <w:rFonts w:hint="eastAsia" w:ascii="Times New Roman" w:hAnsi="Times New Roman" w:eastAsia="仿宋_GB2312" w:cs="Times New Roman"/>
          <w:color w:val="000000" w:themeColor="text1"/>
          <w:sz w:val="28"/>
          <w:szCs w:val="28"/>
          <w14:textFill>
            <w14:solidFill>
              <w14:schemeClr w14:val="tx1"/>
            </w14:solidFill>
          </w14:textFill>
        </w:rPr>
        <w:t>深化改革任务艰巨。制约经济社会发展的体制机制障碍仍然存在，机制体制的创新不够，开放层次和水平不高。发展软环境不够优化，干部队伍作风和领导推动效能与经济发展还不相适应。</w:t>
      </w:r>
      <w:r>
        <w:rPr>
          <w:rFonts w:hint="eastAsia" w:ascii="Times New Roman" w:hAnsi="Times New Roman" w:eastAsia="仿宋_GB2312" w:cs="Times New Roman"/>
          <w:b/>
          <w:bCs/>
          <w:color w:val="000000" w:themeColor="text1"/>
          <w:sz w:val="28"/>
          <w:szCs w:val="28"/>
          <w14:textFill>
            <w14:solidFill>
              <w14:schemeClr w14:val="tx1"/>
            </w14:solidFill>
          </w14:textFill>
        </w:rPr>
        <w:t>八是</w:t>
      </w:r>
      <w:r>
        <w:rPr>
          <w:rFonts w:hint="eastAsia" w:ascii="Times New Roman" w:hAnsi="Times New Roman" w:eastAsia="仿宋_GB2312" w:cs="Times New Roman"/>
          <w:color w:val="000000" w:themeColor="text1"/>
          <w:sz w:val="28"/>
          <w:szCs w:val="28"/>
          <w14:textFill>
            <w14:solidFill>
              <w14:schemeClr w14:val="tx1"/>
            </w14:solidFill>
          </w14:textFill>
        </w:rPr>
        <w:t>国内区域间要素竞争趋于白热化，清河吸引和集聚先进生产要素面临巨大挑战。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全县上下要深刻认识社会主要矛盾变化带来的新特征新要求，深刻认识国际国内环境变化带来的新矛盾新挑战，牢牢把握进入新发展阶段、贯彻新发展理念、构建新发展格局、开启全面建设社会主义现代化国家新征程的丰富内涵和实践要求，增强机遇意识和风险意识，准确识变、科学应变、主动求变，始终坚持“越难越攻坚、越险越争先、越苦越奉献、越强越亮剑”作风，明确目标、坚定方向，攻坚克难、砥砺前行，不断开辟高质量赶超发展新境界。</w:t>
      </w:r>
      <w:r>
        <w:rPr>
          <w:rFonts w:hint="eastAsia" w:ascii="仿宋" w:hAnsi="仿宋" w:eastAsia="仿宋" w:cs="Times New Roman"/>
          <w:color w:val="000000" w:themeColor="text1"/>
          <w:sz w:val="32"/>
          <w:szCs w:val="32"/>
          <w14:textFill>
            <w14:solidFill>
              <w14:schemeClr w14:val="tx1"/>
            </w14:solidFill>
          </w14:textFill>
        </w:rPr>
        <w:br w:type="page"/>
      </w:r>
    </w:p>
    <w:p>
      <w:pPr>
        <w:pStyle w:val="4"/>
        <w:keepNext w:val="0"/>
        <w:keepLines w:val="0"/>
        <w:pageBreakBefore w:val="0"/>
        <w:widowControl w:val="0"/>
        <w:kinsoku/>
        <w:wordWrap/>
        <w:overflowPunct/>
        <w:topLinePunct w:val="0"/>
        <w:autoSpaceDE/>
        <w:autoSpaceDN/>
        <w:bidi w:val="0"/>
        <w:spacing w:before="0" w:after="0" w:line="600" w:lineRule="exact"/>
        <w:jc w:val="center"/>
        <w:textAlignment w:val="auto"/>
        <w:rPr>
          <w:rFonts w:ascii="宋体" w:hAnsi="宋体" w:eastAsia="宋体" w:cs="宋体"/>
          <w:color w:val="000000" w:themeColor="text1"/>
          <w:sz w:val="36"/>
          <w:szCs w:val="20"/>
          <w14:textFill>
            <w14:solidFill>
              <w14:schemeClr w14:val="tx1"/>
            </w14:solidFill>
          </w14:textFill>
        </w:rPr>
      </w:pPr>
      <w:bookmarkStart w:id="83" w:name="_Toc8879"/>
      <w:bookmarkStart w:id="84" w:name="_Toc324"/>
      <w:bookmarkStart w:id="85" w:name="_Toc18444"/>
      <w:bookmarkStart w:id="86" w:name="_Toc13087"/>
      <w:r>
        <w:rPr>
          <w:rFonts w:hint="eastAsia" w:ascii="宋体" w:hAnsi="宋体" w:eastAsia="宋体" w:cs="宋体"/>
          <w:color w:val="000000" w:themeColor="text1"/>
          <w:sz w:val="36"/>
          <w:szCs w:val="20"/>
          <w14:textFill>
            <w14:solidFill>
              <w14:schemeClr w14:val="tx1"/>
            </w14:solidFill>
          </w14:textFill>
        </w:rPr>
        <w:t>第三章  “十四五”时期发展的指导思想和</w:t>
      </w:r>
      <w:bookmarkEnd w:id="83"/>
      <w:r>
        <w:rPr>
          <w:rFonts w:hint="eastAsia" w:ascii="宋体" w:hAnsi="宋体" w:eastAsia="宋体" w:cs="宋体"/>
          <w:color w:val="000000" w:themeColor="text1"/>
          <w:sz w:val="36"/>
          <w:szCs w:val="20"/>
          <w14:textFill>
            <w14:solidFill>
              <w14:schemeClr w14:val="tx1"/>
            </w14:solidFill>
          </w14:textFill>
        </w:rPr>
        <w:t>基本要求</w:t>
      </w:r>
      <w:bookmarkEnd w:id="84"/>
      <w:bookmarkEnd w:id="85"/>
      <w:bookmarkEnd w:id="86"/>
    </w:p>
    <w:p>
      <w:pPr>
        <w:pStyle w:val="5"/>
        <w:keepNext w:val="0"/>
        <w:keepLines w:val="0"/>
        <w:pageBreakBefore w:val="0"/>
        <w:widowControl w:val="0"/>
        <w:kinsoku/>
        <w:wordWrap/>
        <w:overflowPunct/>
        <w:topLinePunct w:val="0"/>
        <w:autoSpaceDE/>
        <w:autoSpaceDN/>
        <w:bidi w:val="0"/>
        <w:spacing w:before="0" w:after="0" w:line="540" w:lineRule="exact"/>
        <w:ind w:firstLine="562" w:firstLineChars="200"/>
        <w:textAlignment w:val="auto"/>
        <w:rPr>
          <w:rFonts w:ascii="楷体" w:hAnsi="楷体" w:eastAsia="楷体" w:cs="楷体"/>
          <w:color w:val="000000" w:themeColor="text1"/>
          <w:sz w:val="28"/>
          <w:szCs w:val="28"/>
          <w14:textFill>
            <w14:solidFill>
              <w14:schemeClr w14:val="tx1"/>
            </w14:solidFill>
          </w14:textFill>
        </w:rPr>
      </w:pPr>
      <w:bookmarkStart w:id="87" w:name="_Toc21090"/>
      <w:bookmarkStart w:id="88" w:name="_Toc28249"/>
      <w:bookmarkStart w:id="89" w:name="_Toc32520"/>
    </w:p>
    <w:p>
      <w:pPr>
        <w:pStyle w:val="5"/>
        <w:keepNext w:val="0"/>
        <w:keepLines w:val="0"/>
        <w:pageBreakBefore w:val="0"/>
        <w:widowControl w:val="0"/>
        <w:kinsoku/>
        <w:wordWrap/>
        <w:overflowPunct/>
        <w:topLinePunct w:val="0"/>
        <w:autoSpaceDE/>
        <w:autoSpaceDN/>
        <w:bidi w:val="0"/>
        <w:spacing w:before="0" w:after="0" w:line="540" w:lineRule="exact"/>
        <w:ind w:firstLine="560" w:firstLineChars="200"/>
        <w:textAlignment w:val="auto"/>
        <w:rPr>
          <w:rFonts w:ascii="黑体" w:hAnsi="黑体" w:eastAsia="黑体"/>
          <w:b w:val="0"/>
          <w:bCs w:val="0"/>
          <w:color w:val="000000" w:themeColor="text1"/>
          <w:sz w:val="28"/>
          <w:szCs w:val="28"/>
          <w14:textFill>
            <w14:solidFill>
              <w14:schemeClr w14:val="tx1"/>
            </w14:solidFill>
          </w14:textFill>
        </w:rPr>
      </w:pPr>
      <w:bookmarkStart w:id="90" w:name="_Toc11557"/>
      <w:r>
        <w:rPr>
          <w:rFonts w:hint="eastAsia" w:ascii="黑体" w:hAnsi="黑体" w:eastAsia="黑体"/>
          <w:b w:val="0"/>
          <w:bCs w:val="0"/>
          <w:color w:val="000000" w:themeColor="text1"/>
          <w:sz w:val="28"/>
          <w:szCs w:val="28"/>
          <w14:textFill>
            <w14:solidFill>
              <w14:schemeClr w14:val="tx1"/>
            </w14:solidFill>
          </w14:textFill>
        </w:rPr>
        <w:t>一、指导思想</w:t>
      </w:r>
      <w:bookmarkEnd w:id="87"/>
      <w:bookmarkEnd w:id="88"/>
      <w:bookmarkEnd w:id="89"/>
      <w:bookmarkEnd w:id="90"/>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Times New Roman" w:hAnsi="Times New Roman" w:eastAsia="仿宋_GB2312" w:cs="Times New Roman"/>
          <w:color w:val="000000" w:themeColor="text1"/>
          <w:sz w:val="28"/>
          <w:szCs w:val="28"/>
          <w14:textFill>
            <w14:solidFill>
              <w14:schemeClr w14:val="tx1"/>
            </w14:solidFill>
          </w14:textFill>
        </w:rPr>
      </w:pPr>
      <w:bookmarkStart w:id="91" w:name="_Toc20129"/>
      <w:r>
        <w:rPr>
          <w:rFonts w:hint="eastAsia" w:ascii="Times New Roman" w:hAnsi="Times New Roman" w:eastAsia="仿宋_GB2312" w:cs="Times New Roman"/>
          <w:color w:val="000000" w:themeColor="text1"/>
          <w:sz w:val="28"/>
          <w:szCs w:val="28"/>
          <w14:textFill>
            <w14:solidFill>
              <w14:schemeClr w14:val="tx1"/>
            </w14:solidFill>
          </w14:textFill>
        </w:rPr>
        <w:t>高举中国特色社会主义伟大旗帜，深入贯彻落实党的十九大和十九届二中、三中、四中、五中全会精神，省委九届十一次全会、市委九届九次全会精神，坚持以马克思列宁主义、毛泽东思想、邓小平理论、“三个代表”重要思想、科学发展观、习近平新时代中国特色社会主义思想为指导，全面贯彻党的基本理论、基本路线、基本方略，深入落实习近平总书记对河北工作的一系列重要指示批示精神，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赶超发展为主题，以深化供给侧结构性改革为主线，以改革创新为根本动力，以满足人民日益增长的美好生活需要为根本目的，</w:t>
      </w:r>
      <w:r>
        <w:rPr>
          <w:rFonts w:ascii="Times New Roman" w:hAnsi="Times New Roman" w:eastAsia="仿宋_GB2312" w:cs="Times New Roman"/>
          <w:color w:val="000000" w:themeColor="text1"/>
          <w:sz w:val="28"/>
          <w:szCs w:val="28"/>
          <w14:textFill>
            <w14:solidFill>
              <w14:schemeClr w14:val="tx1"/>
            </w14:solidFill>
          </w14:textFill>
        </w:rPr>
        <w:t>坚决落实省、市重大决策部署，按照县委</w:t>
      </w:r>
      <w:r>
        <w:rPr>
          <w:rFonts w:hint="eastAsia" w:ascii="Times New Roman" w:hAnsi="Times New Roman" w:eastAsia="仿宋_GB2312" w:cs="Times New Roman"/>
          <w:color w:val="000000" w:themeColor="text1"/>
          <w:sz w:val="28"/>
          <w:szCs w:val="28"/>
          <w14:textFill>
            <w14:solidFill>
              <w14:schemeClr w14:val="tx1"/>
            </w14:solidFill>
          </w14:textFill>
        </w:rPr>
        <w:t>相关</w:t>
      </w:r>
      <w:r>
        <w:rPr>
          <w:rFonts w:ascii="Times New Roman" w:hAnsi="Times New Roman" w:eastAsia="仿宋_GB2312" w:cs="Times New Roman"/>
          <w:color w:val="000000" w:themeColor="text1"/>
          <w:sz w:val="28"/>
          <w:szCs w:val="28"/>
          <w14:textFill>
            <w14:solidFill>
              <w14:schemeClr w14:val="tx1"/>
            </w14:solidFill>
          </w14:textFill>
        </w:rPr>
        <w:t>工作要求，进一步动员全县干部群众，解放思想、抢抓机遇，提质量、</w:t>
      </w:r>
      <w:r>
        <w:rPr>
          <w:rFonts w:hint="eastAsia" w:ascii="Times New Roman" w:hAnsi="Times New Roman" w:eastAsia="仿宋_GB2312" w:cs="Times New Roman"/>
          <w:color w:val="000000" w:themeColor="text1"/>
          <w:sz w:val="28"/>
          <w:szCs w:val="28"/>
          <w14:textFill>
            <w14:solidFill>
              <w14:schemeClr w14:val="tx1"/>
            </w14:solidFill>
          </w14:textFill>
        </w:rPr>
        <w:t>拼</w:t>
      </w:r>
      <w:r>
        <w:rPr>
          <w:rFonts w:ascii="Times New Roman" w:hAnsi="Times New Roman" w:eastAsia="仿宋_GB2312" w:cs="Times New Roman"/>
          <w:color w:val="000000" w:themeColor="text1"/>
          <w:sz w:val="28"/>
          <w:szCs w:val="28"/>
          <w14:textFill>
            <w14:solidFill>
              <w14:schemeClr w14:val="tx1"/>
            </w14:solidFill>
          </w14:textFill>
        </w:rPr>
        <w:t>速度、重实干，加快建设经济强县、美丽</w:t>
      </w:r>
      <w:r>
        <w:rPr>
          <w:rFonts w:hint="eastAsia" w:ascii="Times New Roman" w:hAnsi="Times New Roman" w:eastAsia="仿宋_GB2312" w:cs="Times New Roman"/>
          <w:color w:val="000000" w:themeColor="text1"/>
          <w:sz w:val="28"/>
          <w:szCs w:val="28"/>
          <w14:textFill>
            <w14:solidFill>
              <w14:schemeClr w14:val="tx1"/>
            </w14:solidFill>
          </w14:textFill>
        </w:rPr>
        <w:t>清河</w:t>
      </w:r>
      <w:r>
        <w:rPr>
          <w:rFonts w:ascii="Times New Roman" w:hAnsi="Times New Roman" w:eastAsia="仿宋_GB2312" w:cs="Times New Roman"/>
          <w:color w:val="000000" w:themeColor="text1"/>
          <w:sz w:val="28"/>
          <w:szCs w:val="28"/>
          <w14:textFill>
            <w14:solidFill>
              <w14:schemeClr w14:val="tx1"/>
            </w14:solidFill>
          </w14:textFill>
        </w:rPr>
        <w:t>，奋力开创全县高质量赶超发展新局面。</w:t>
      </w:r>
    </w:p>
    <w:p>
      <w:pPr>
        <w:pStyle w:val="5"/>
        <w:keepNext w:val="0"/>
        <w:keepLines w:val="0"/>
        <w:pageBreakBefore w:val="0"/>
        <w:widowControl w:val="0"/>
        <w:kinsoku/>
        <w:wordWrap/>
        <w:overflowPunct/>
        <w:topLinePunct w:val="0"/>
        <w:autoSpaceDE/>
        <w:autoSpaceDN/>
        <w:bidi w:val="0"/>
        <w:spacing w:before="0" w:after="0" w:line="540" w:lineRule="exact"/>
        <w:ind w:firstLine="560" w:firstLineChars="200"/>
        <w:textAlignment w:val="auto"/>
        <w:rPr>
          <w:rFonts w:ascii="黑体" w:hAnsi="黑体" w:eastAsia="黑体"/>
          <w:b w:val="0"/>
          <w:bCs w:val="0"/>
          <w:color w:val="000000" w:themeColor="text1"/>
          <w:sz w:val="28"/>
          <w:szCs w:val="28"/>
          <w14:textFill>
            <w14:solidFill>
              <w14:schemeClr w14:val="tx1"/>
            </w14:solidFill>
          </w14:textFill>
        </w:rPr>
      </w:pPr>
      <w:bookmarkStart w:id="92" w:name="_Toc6810"/>
      <w:bookmarkStart w:id="93" w:name="_Toc15931"/>
      <w:bookmarkStart w:id="94" w:name="_Toc21041"/>
      <w:r>
        <w:rPr>
          <w:rFonts w:hint="eastAsia" w:ascii="黑体" w:hAnsi="黑体" w:eastAsia="黑体"/>
          <w:b w:val="0"/>
          <w:bCs w:val="0"/>
          <w:color w:val="000000" w:themeColor="text1"/>
          <w:sz w:val="28"/>
          <w:szCs w:val="28"/>
          <w14:textFill>
            <w14:solidFill>
              <w14:schemeClr w14:val="tx1"/>
            </w14:solidFill>
          </w14:textFill>
        </w:rPr>
        <w:t>二、基本</w:t>
      </w:r>
      <w:bookmarkEnd w:id="91"/>
      <w:r>
        <w:rPr>
          <w:rFonts w:hint="eastAsia" w:ascii="黑体" w:hAnsi="黑体" w:eastAsia="黑体"/>
          <w:b w:val="0"/>
          <w:bCs w:val="0"/>
          <w:color w:val="000000" w:themeColor="text1"/>
          <w:sz w:val="28"/>
          <w:szCs w:val="28"/>
          <w14:textFill>
            <w14:solidFill>
              <w14:schemeClr w14:val="tx1"/>
            </w14:solidFill>
          </w14:textFill>
        </w:rPr>
        <w:t>要求</w:t>
      </w:r>
      <w:bookmarkEnd w:id="92"/>
      <w:bookmarkEnd w:id="93"/>
      <w:bookmarkEnd w:id="94"/>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Times New Roman" w:hAnsi="Times New Roman" w:eastAsia="仿宋_GB2312" w:cs="Times New Roman"/>
          <w:color w:val="000000" w:themeColor="text1"/>
          <w:sz w:val="28"/>
          <w:szCs w:val="28"/>
          <w14:textFill>
            <w14:solidFill>
              <w14:schemeClr w14:val="tx1"/>
            </w14:solidFill>
          </w14:textFill>
        </w:rPr>
      </w:pPr>
      <w:bookmarkStart w:id="95" w:name="_Toc21590"/>
      <w:r>
        <w:rPr>
          <w:rFonts w:hint="eastAsia" w:ascii="楷体_GB2312" w:hAnsi="楷体_GB2312" w:eastAsia="楷体_GB2312" w:cs="楷体_GB2312"/>
          <w:b w:val="0"/>
          <w:bCs w:val="0"/>
          <w:color w:val="000000" w:themeColor="text1"/>
          <w:sz w:val="28"/>
          <w:szCs w:val="28"/>
          <w14:textFill>
            <w14:solidFill>
              <w14:schemeClr w14:val="tx1"/>
            </w14:solidFill>
          </w14:textFill>
        </w:rPr>
        <w:t>坚持党的全面领导。</w:t>
      </w:r>
      <w:r>
        <w:rPr>
          <w:rFonts w:hint="eastAsia" w:ascii="Times New Roman" w:hAnsi="Times New Roman" w:eastAsia="仿宋_GB2312" w:cs="Times New Roman"/>
          <w:color w:val="000000" w:themeColor="text1"/>
          <w:sz w:val="28"/>
          <w:szCs w:val="28"/>
          <w14:textFill>
            <w14:solidFill>
              <w14:schemeClr w14:val="tx1"/>
            </w14:solidFill>
          </w14:textFill>
        </w:rPr>
        <w:t>坚持和完善党领导经济社会发展的体制机制，坚决维护党中央权威和集中统一领导，始终同以习近平同志为核心的党中央保持高度一致，不断提高贯彻新发展理念、构建新发展格局的能力和水平，为实现高质量赶超发展提供根本保证。</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hint="eastAsia" w:ascii="楷体_GB2312" w:hAnsi="楷体_GB2312" w:eastAsia="楷体_GB2312" w:cs="楷体_GB2312"/>
          <w:b w:val="0"/>
          <w:bCs w:val="0"/>
          <w:color w:val="000000" w:themeColor="text1"/>
          <w:sz w:val="28"/>
          <w:szCs w:val="28"/>
          <w14:textFill>
            <w14:solidFill>
              <w14:schemeClr w14:val="tx1"/>
            </w14:solidFill>
          </w14:textFill>
        </w:rPr>
        <w:t>坚持以人民为中心。</w:t>
      </w:r>
      <w:r>
        <w:rPr>
          <w:rFonts w:hint="eastAsia" w:ascii="Times New Roman" w:hAnsi="Times New Roman" w:eastAsia="仿宋_GB2312" w:cs="Times New Roman"/>
          <w:color w:val="000000" w:themeColor="text1"/>
          <w:sz w:val="28"/>
          <w:szCs w:val="28"/>
          <w14:textFill>
            <w14:solidFill>
              <w14:schemeClr w14:val="tx1"/>
            </w14:solidFill>
          </w14:textFill>
        </w:rPr>
        <w:t>坚持民生连着民心、民心是最大的政治，始终做到发展为了人民、发展依靠人民、发展成果由人民共享，把为民办事、为民造福作为最重要的政绩，顺应人民对美好生活的向往，实施民心工程，不断增进民生福祉。</w:t>
      </w:r>
      <w:r>
        <w:rPr>
          <w:rFonts w:ascii="Times New Roman" w:hAnsi="Times New Roman" w:eastAsia="仿宋_GB2312" w:cs="Times New Roman"/>
          <w:color w:val="000000" w:themeColor="text1"/>
          <w:sz w:val="28"/>
          <w:szCs w:val="28"/>
          <w14:textFill>
            <w14:solidFill>
              <w14:schemeClr w14:val="tx1"/>
            </w14:solidFill>
          </w14:textFill>
        </w:rPr>
        <w:t>着力解决人民群众最关切的公共安全、权益保障、公平正义问题，不断增强人民群众获得感、幸福感、安全感。</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Times New Roman" w:hAnsi="Times New Roman" w:eastAsia="仿宋_GB2312" w:cs="Times New Roman"/>
          <w:b w:val="0"/>
          <w:bCs w:val="0"/>
          <w:color w:val="000000" w:themeColor="text1"/>
          <w:sz w:val="28"/>
          <w:szCs w:val="28"/>
          <w14:textFill>
            <w14:solidFill>
              <w14:schemeClr w14:val="tx1"/>
            </w14:solidFill>
          </w14:textFill>
        </w:rPr>
      </w:pPr>
      <w:r>
        <w:rPr>
          <w:rFonts w:hint="eastAsia" w:ascii="楷体_GB2312" w:hAnsi="楷体_GB2312" w:eastAsia="楷体_GB2312" w:cs="楷体_GB2312"/>
          <w:b w:val="0"/>
          <w:bCs w:val="0"/>
          <w:color w:val="000000" w:themeColor="text1"/>
          <w:sz w:val="28"/>
          <w:szCs w:val="28"/>
          <w14:textFill>
            <w14:solidFill>
              <w14:schemeClr w14:val="tx1"/>
            </w14:solidFill>
          </w14:textFill>
        </w:rPr>
        <w:t>坚持新发展理念。</w:t>
      </w:r>
      <w:r>
        <w:rPr>
          <w:rFonts w:hint="eastAsia" w:ascii="Times New Roman" w:hAnsi="Times New Roman" w:eastAsia="仿宋_GB2312" w:cs="Times New Roman"/>
          <w:b w:val="0"/>
          <w:bCs w:val="0"/>
          <w:color w:val="000000" w:themeColor="text1"/>
          <w:sz w:val="28"/>
          <w:szCs w:val="28"/>
          <w14:textFill>
            <w14:solidFill>
              <w14:schemeClr w14:val="tx1"/>
            </w14:solidFill>
          </w14:textFill>
        </w:rPr>
        <w:t>始终把新发展理念贯穿发展全过程和各领域，</w:t>
      </w:r>
      <w:r>
        <w:rPr>
          <w:rFonts w:ascii="Times New Roman" w:hAnsi="Times New Roman" w:eastAsia="仿宋_GB2312" w:cs="Times New Roman"/>
          <w:b w:val="0"/>
          <w:bCs w:val="0"/>
          <w:color w:val="000000" w:themeColor="text1"/>
          <w:sz w:val="28"/>
          <w:szCs w:val="28"/>
          <w14:textFill>
            <w14:solidFill>
              <w14:schemeClr w14:val="tx1"/>
            </w14:solidFill>
          </w14:textFill>
        </w:rPr>
        <w:t>把“</w:t>
      </w:r>
      <w:r>
        <w:rPr>
          <w:rFonts w:hint="eastAsia" w:ascii="Times New Roman" w:hAnsi="Times New Roman" w:eastAsia="仿宋_GB2312" w:cs="Times New Roman"/>
          <w:b w:val="0"/>
          <w:bCs w:val="0"/>
          <w:color w:val="000000" w:themeColor="text1"/>
          <w:sz w:val="28"/>
          <w:szCs w:val="28"/>
          <w14:textFill>
            <w14:solidFill>
              <w14:schemeClr w14:val="tx1"/>
            </w14:solidFill>
          </w14:textFill>
        </w:rPr>
        <w:t>争三夺二拼第一</w:t>
      </w:r>
      <w:r>
        <w:rPr>
          <w:rFonts w:ascii="Times New Roman" w:hAnsi="Times New Roman" w:eastAsia="仿宋_GB2312" w:cs="Times New Roman"/>
          <w:b w:val="0"/>
          <w:bCs w:val="0"/>
          <w:color w:val="000000" w:themeColor="text1"/>
          <w:sz w:val="28"/>
          <w:szCs w:val="28"/>
          <w14:textFill>
            <w14:solidFill>
              <w14:schemeClr w14:val="tx1"/>
            </w14:solidFill>
          </w14:textFill>
        </w:rPr>
        <w:t>”争先意识贯穿各项工作，</w:t>
      </w:r>
      <w:r>
        <w:rPr>
          <w:rFonts w:hint="eastAsia" w:ascii="Times New Roman" w:hAnsi="Times New Roman" w:eastAsia="仿宋_GB2312" w:cs="Times New Roman"/>
          <w:b w:val="0"/>
          <w:bCs w:val="0"/>
          <w:color w:val="000000" w:themeColor="text1"/>
          <w:sz w:val="28"/>
          <w:szCs w:val="28"/>
          <w14:textFill>
            <w14:solidFill>
              <w14:schemeClr w14:val="tx1"/>
            </w14:solidFill>
          </w14:textFill>
        </w:rPr>
        <w:t>切实转变发展方式，加快转型升级和提质增效，积极融入新发展格局，实现更高质量、更有效率、更加公平、更可持续、更为安全的发展。</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Times New Roman" w:hAnsi="Times New Roman" w:eastAsia="仿宋_GB2312" w:cs="Times New Roman"/>
          <w:b w:val="0"/>
          <w:bCs w:val="0"/>
          <w:color w:val="000000" w:themeColor="text1"/>
          <w:sz w:val="28"/>
          <w:szCs w:val="28"/>
          <w14:textFill>
            <w14:solidFill>
              <w14:schemeClr w14:val="tx1"/>
            </w14:solidFill>
          </w14:textFill>
        </w:rPr>
      </w:pPr>
      <w:r>
        <w:rPr>
          <w:rFonts w:hint="eastAsia" w:ascii="楷体_GB2312" w:hAnsi="楷体_GB2312" w:eastAsia="楷体_GB2312" w:cs="楷体_GB2312"/>
          <w:b w:val="0"/>
          <w:bCs w:val="0"/>
          <w:color w:val="000000" w:themeColor="text1"/>
          <w:sz w:val="28"/>
          <w:szCs w:val="28"/>
          <w14:textFill>
            <w14:solidFill>
              <w14:schemeClr w14:val="tx1"/>
            </w14:solidFill>
          </w14:textFill>
        </w:rPr>
        <w:t>坚持深化改革开放。</w:t>
      </w:r>
      <w:r>
        <w:rPr>
          <w:rFonts w:hint="eastAsia" w:ascii="Times New Roman" w:hAnsi="Times New Roman" w:eastAsia="仿宋_GB2312" w:cs="Times New Roman"/>
          <w:b w:val="0"/>
          <w:bCs w:val="0"/>
          <w:color w:val="000000" w:themeColor="text1"/>
          <w:sz w:val="28"/>
          <w:szCs w:val="28"/>
          <w14:textFill>
            <w14:solidFill>
              <w14:schemeClr w14:val="tx1"/>
            </w14:solidFill>
          </w14:textFill>
        </w:rPr>
        <w:t>坚定不移推进改革，积极融入国内国际双循环，不断激发发展活力、塑造竞争优势，破除影响高质量发展、高品质生活的体制机制障碍，加强治理体系和治理能力现代化建设，持续增强发展动力。</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hint="eastAsia" w:ascii="楷体_GB2312" w:hAnsi="楷体_GB2312" w:eastAsia="楷体_GB2312" w:cs="楷体_GB2312"/>
          <w:b w:val="0"/>
          <w:bCs w:val="0"/>
          <w:color w:val="000000" w:themeColor="text1"/>
          <w:sz w:val="28"/>
          <w:szCs w:val="28"/>
          <w14:textFill>
            <w14:solidFill>
              <w14:schemeClr w14:val="tx1"/>
            </w14:solidFill>
          </w14:textFill>
        </w:rPr>
        <w:t>坚持系统观念。</w:t>
      </w:r>
      <w:r>
        <w:rPr>
          <w:rFonts w:hint="eastAsia" w:ascii="Times New Roman" w:hAnsi="Times New Roman" w:eastAsia="仿宋_GB2312" w:cs="Times New Roman"/>
          <w:color w:val="000000" w:themeColor="text1"/>
          <w:sz w:val="28"/>
          <w:szCs w:val="28"/>
          <w14:textFill>
            <w14:solidFill>
              <w14:schemeClr w14:val="tx1"/>
            </w14:solidFill>
          </w14:textFill>
        </w:rPr>
        <w:t>坚决守好首都政治“护城河”清河防线，加强前瞻性思考、全局性谋划、战略性布局、整体性推进，发挥各方面积极性，着力固根基、扬优势、补短板、强弱项，注重防范化解重大风险挑战，实现发展质量、结构、规模、速度、效益、安全相统一。</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br w:type="page"/>
      </w:r>
    </w:p>
    <w:p>
      <w:pPr>
        <w:pStyle w:val="4"/>
        <w:keepNext w:val="0"/>
        <w:keepLines w:val="0"/>
        <w:pageBreakBefore w:val="0"/>
        <w:widowControl w:val="0"/>
        <w:kinsoku/>
        <w:wordWrap/>
        <w:overflowPunct/>
        <w:topLinePunct w:val="0"/>
        <w:autoSpaceDE/>
        <w:autoSpaceDN/>
        <w:bidi w:val="0"/>
        <w:spacing w:before="0" w:after="0" w:line="600" w:lineRule="exact"/>
        <w:jc w:val="center"/>
        <w:textAlignment w:val="auto"/>
        <w:rPr>
          <w:rFonts w:ascii="宋体" w:hAnsi="宋体" w:eastAsia="宋体" w:cs="宋体"/>
          <w:color w:val="000000" w:themeColor="text1"/>
          <w:sz w:val="36"/>
          <w:szCs w:val="20"/>
          <w14:textFill>
            <w14:solidFill>
              <w14:schemeClr w14:val="tx1"/>
            </w14:solidFill>
          </w14:textFill>
        </w:rPr>
      </w:pPr>
      <w:bookmarkStart w:id="96" w:name="_Toc11921"/>
      <w:bookmarkStart w:id="97" w:name="_Toc20963"/>
      <w:bookmarkStart w:id="98" w:name="_Toc14592"/>
      <w:r>
        <w:rPr>
          <w:rFonts w:hint="eastAsia" w:ascii="宋体" w:hAnsi="宋体" w:eastAsia="宋体" w:cs="宋体"/>
          <w:color w:val="000000" w:themeColor="text1"/>
          <w:sz w:val="36"/>
          <w:szCs w:val="20"/>
          <w14:textFill>
            <w14:solidFill>
              <w14:schemeClr w14:val="tx1"/>
            </w14:solidFill>
          </w14:textFill>
        </w:rPr>
        <w:t>第四章  “十四五”时期清河县发展定位和主要目标</w:t>
      </w:r>
      <w:bookmarkEnd w:id="96"/>
      <w:bookmarkEnd w:id="97"/>
      <w:bookmarkEnd w:id="98"/>
    </w:p>
    <w:bookmarkEnd w:id="95"/>
    <w:p>
      <w:pPr>
        <w:pStyle w:val="5"/>
        <w:keepNext w:val="0"/>
        <w:keepLines w:val="0"/>
        <w:pageBreakBefore w:val="0"/>
        <w:widowControl w:val="0"/>
        <w:kinsoku/>
        <w:wordWrap/>
        <w:overflowPunct/>
        <w:topLinePunct w:val="0"/>
        <w:autoSpaceDE/>
        <w:autoSpaceDN/>
        <w:bidi w:val="0"/>
        <w:spacing w:before="0" w:after="0" w:line="520" w:lineRule="exact"/>
        <w:ind w:firstLine="562" w:firstLineChars="200"/>
        <w:textAlignment w:val="auto"/>
        <w:rPr>
          <w:rFonts w:ascii="楷体" w:hAnsi="楷体" w:eastAsia="楷体" w:cs="楷体"/>
          <w:color w:val="000000" w:themeColor="text1"/>
          <w:sz w:val="28"/>
          <w:szCs w:val="28"/>
          <w14:textFill>
            <w14:solidFill>
              <w14:schemeClr w14:val="tx1"/>
            </w14:solidFill>
          </w14:textFill>
        </w:rPr>
      </w:pPr>
      <w:bookmarkStart w:id="99" w:name="_Toc18893"/>
      <w:bookmarkStart w:id="100" w:name="_Toc20364"/>
      <w:bookmarkStart w:id="101" w:name="_Toc15979"/>
    </w:p>
    <w:p>
      <w:pPr>
        <w:pStyle w:val="5"/>
        <w:keepNext w:val="0"/>
        <w:keepLines w:val="0"/>
        <w:pageBreakBefore w:val="0"/>
        <w:widowControl w:val="0"/>
        <w:kinsoku/>
        <w:wordWrap/>
        <w:overflowPunct/>
        <w:topLinePunct w:val="0"/>
        <w:autoSpaceDE/>
        <w:autoSpaceDN/>
        <w:bidi w:val="0"/>
        <w:spacing w:before="0" w:after="0" w:line="500" w:lineRule="exact"/>
        <w:ind w:firstLine="560" w:firstLineChars="200"/>
        <w:textAlignment w:val="auto"/>
        <w:rPr>
          <w:rFonts w:ascii="黑体" w:hAnsi="黑体" w:eastAsia="黑体"/>
          <w:b w:val="0"/>
          <w:bCs w:val="0"/>
          <w:color w:val="000000" w:themeColor="text1"/>
          <w:sz w:val="28"/>
          <w:szCs w:val="28"/>
          <w14:textFill>
            <w14:solidFill>
              <w14:schemeClr w14:val="tx1"/>
            </w14:solidFill>
          </w14:textFill>
        </w:rPr>
      </w:pPr>
      <w:bookmarkStart w:id="102" w:name="_Toc29758"/>
      <w:r>
        <w:rPr>
          <w:rFonts w:hint="eastAsia" w:ascii="黑体" w:hAnsi="黑体" w:eastAsia="黑体"/>
          <w:b w:val="0"/>
          <w:bCs w:val="0"/>
          <w:color w:val="000000" w:themeColor="text1"/>
          <w:sz w:val="28"/>
          <w:szCs w:val="28"/>
          <w14:textFill>
            <w14:solidFill>
              <w14:schemeClr w14:val="tx1"/>
            </w14:solidFill>
          </w14:textFill>
        </w:rPr>
        <w:t>一、发展定位</w:t>
      </w:r>
      <w:bookmarkEnd w:id="99"/>
      <w:bookmarkEnd w:id="100"/>
      <w:bookmarkEnd w:id="102"/>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按照“小县域大县城”思路，科学确定城市发展定位和县域功能布局，提升城乡建设水平，构建高质量赶超发展支撑体系。</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outlineLvl w:val="2"/>
        <w:rPr>
          <w:rFonts w:ascii="楷体_GB2312" w:hAnsi="楷体_GB2312" w:eastAsia="楷体_GB2312" w:cs="楷体_GB2312"/>
          <w:b w:val="0"/>
          <w:bCs w:val="0"/>
          <w:color w:val="000000" w:themeColor="text1"/>
          <w:sz w:val="28"/>
          <w:szCs w:val="28"/>
          <w14:textFill>
            <w14:solidFill>
              <w14:schemeClr w14:val="tx1"/>
            </w14:solidFill>
          </w14:textFill>
        </w:rPr>
      </w:pPr>
      <w:bookmarkStart w:id="103" w:name="_Toc8404"/>
      <w:bookmarkStart w:id="104" w:name="_Toc7925"/>
      <w:r>
        <w:rPr>
          <w:rFonts w:hint="eastAsia" w:ascii="楷体_GB2312" w:hAnsi="楷体_GB2312" w:eastAsia="楷体_GB2312" w:cs="楷体_GB2312"/>
          <w:b w:val="0"/>
          <w:bCs w:val="0"/>
          <w:color w:val="000000" w:themeColor="text1"/>
          <w:sz w:val="28"/>
          <w:szCs w:val="28"/>
          <w14:textFill>
            <w14:solidFill>
              <w14:schemeClr w14:val="tx1"/>
            </w14:solidFill>
          </w14:textFill>
        </w:rPr>
        <w:t>（一）城市定位：一城三区</w:t>
      </w:r>
      <w:bookmarkEnd w:id="103"/>
      <w:bookmarkEnd w:id="104"/>
    </w:p>
    <w:p>
      <w:pPr>
        <w:keepNext w:val="0"/>
        <w:keepLines w:val="0"/>
        <w:pageBreakBefore w:val="0"/>
        <w:widowControl w:val="0"/>
        <w:kinsoku/>
        <w:wordWrap/>
        <w:overflowPunct/>
        <w:topLinePunct w:val="0"/>
        <w:autoSpaceDE/>
        <w:autoSpaceDN/>
        <w:bidi w:val="0"/>
        <w:spacing w:line="500" w:lineRule="exact"/>
        <w:ind w:firstLine="562" w:firstLineChars="200"/>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一城：</w:t>
      </w:r>
      <w:r>
        <w:rPr>
          <w:rFonts w:hint="eastAsia" w:ascii="Times New Roman" w:hAnsi="Times New Roman" w:eastAsia="仿宋_GB2312" w:cs="Times New Roman"/>
          <w:b/>
          <w:bCs/>
          <w:color w:val="000000" w:themeColor="text1"/>
          <w:sz w:val="28"/>
          <w:szCs w:val="28"/>
          <w14:textFill>
            <w14:solidFill>
              <w14:schemeClr w14:val="tx1"/>
            </w14:solidFill>
          </w14:textFill>
        </w:rPr>
        <w:t>打造冀东南区域中心城市</w:t>
      </w:r>
      <w:r>
        <w:rPr>
          <w:rFonts w:hint="eastAsia" w:ascii="Times New Roman" w:hAnsi="Times New Roman" w:eastAsia="仿宋_GB2312" w:cs="Times New Roman"/>
          <w:color w:val="000000" w:themeColor="text1"/>
          <w:sz w:val="28"/>
          <w:szCs w:val="28"/>
          <w14:textFill>
            <w14:solidFill>
              <w14:schemeClr w14:val="tx1"/>
            </w14:solidFill>
          </w14:textFill>
        </w:rPr>
        <w:t>。充分发挥我县区位条件好、城市人口规模大、产业发展特色鲜明、城市集聚要素能力强、营商环境便利的综合优势，加快撤县设市步伐，大幅提升我县对周边县市的聚集吸纳力、带动影响力。</w:t>
      </w:r>
    </w:p>
    <w:p>
      <w:pPr>
        <w:keepNext w:val="0"/>
        <w:keepLines w:val="0"/>
        <w:pageBreakBefore w:val="0"/>
        <w:widowControl w:val="0"/>
        <w:kinsoku/>
        <w:wordWrap/>
        <w:overflowPunct/>
        <w:topLinePunct w:val="0"/>
        <w:autoSpaceDE/>
        <w:autoSpaceDN/>
        <w:bidi w:val="0"/>
        <w:spacing w:line="500" w:lineRule="exact"/>
        <w:ind w:firstLine="562" w:firstLineChars="200"/>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三区：</w:t>
      </w:r>
      <w:r>
        <w:rPr>
          <w:rFonts w:hint="eastAsia" w:ascii="Times New Roman" w:hAnsi="Times New Roman" w:eastAsia="仿宋_GB2312" w:cs="Times New Roman"/>
          <w:b/>
          <w:bCs/>
          <w:color w:val="000000" w:themeColor="text1"/>
          <w:sz w:val="28"/>
          <w:szCs w:val="28"/>
          <w14:textFill>
            <w14:solidFill>
              <w14:schemeClr w14:val="tx1"/>
            </w14:solidFill>
          </w14:textFill>
        </w:rPr>
        <w:t>打造国际羊绒时尚引领区</w:t>
      </w:r>
      <w:r>
        <w:rPr>
          <w:rFonts w:hint="eastAsia" w:ascii="Times New Roman" w:hAnsi="Times New Roman" w:eastAsia="仿宋_GB2312" w:cs="Times New Roman"/>
          <w:color w:val="000000" w:themeColor="text1"/>
          <w:sz w:val="28"/>
          <w:szCs w:val="28"/>
          <w14:textFill>
            <w14:solidFill>
              <w14:schemeClr w14:val="tx1"/>
            </w14:solidFill>
          </w14:textFill>
        </w:rPr>
        <w:t>。统筹利用龙头带动、创意设计、品牌培育、展会筹办、电商发展、业态丰富、小镇提升等抓手，在打造“羊绒之都、世界绒谷”基础上，建设时装时尚发布平台，引领行业潮流，真正让清河羊绒在世界独树一帜。</w:t>
      </w:r>
      <w:r>
        <w:rPr>
          <w:rFonts w:hint="eastAsia" w:ascii="Times New Roman" w:hAnsi="Times New Roman" w:eastAsia="仿宋_GB2312" w:cs="Times New Roman"/>
          <w:b/>
          <w:bCs/>
          <w:color w:val="000000" w:themeColor="text1"/>
          <w:sz w:val="28"/>
          <w:szCs w:val="28"/>
          <w14:textFill>
            <w14:solidFill>
              <w14:schemeClr w14:val="tx1"/>
            </w14:solidFill>
          </w14:textFill>
        </w:rPr>
        <w:t>打造中国汽配智造示范区</w:t>
      </w:r>
      <w:r>
        <w:rPr>
          <w:rFonts w:hint="eastAsia" w:ascii="Times New Roman" w:hAnsi="Times New Roman" w:eastAsia="仿宋_GB2312" w:cs="Times New Roman"/>
          <w:color w:val="000000" w:themeColor="text1"/>
          <w:sz w:val="28"/>
          <w:szCs w:val="28"/>
          <w14:textFill>
            <w14:solidFill>
              <w14:schemeClr w14:val="tx1"/>
            </w14:solidFill>
          </w14:textFill>
        </w:rPr>
        <w:t>。依托中国汽车零部件制造优秀基地的优势，落实“一主三覆”理念，以技改项目为主，加快企业两化融合、企业上云、绿色工厂建设，以此带动汽车零部件产业加速向智能化、数字化、信息化方向发展。</w:t>
      </w:r>
      <w:r>
        <w:rPr>
          <w:rFonts w:hint="eastAsia" w:ascii="Times New Roman" w:hAnsi="Times New Roman" w:eastAsia="仿宋_GB2312" w:cs="Times New Roman"/>
          <w:b/>
          <w:bCs/>
          <w:color w:val="000000" w:themeColor="text1"/>
          <w:sz w:val="28"/>
          <w:szCs w:val="28"/>
          <w14:textFill>
            <w14:solidFill>
              <w14:schemeClr w14:val="tx1"/>
            </w14:solidFill>
          </w14:textFill>
        </w:rPr>
        <w:t>打造北方平原县域旅游先行区</w:t>
      </w:r>
      <w:r>
        <w:rPr>
          <w:rFonts w:hint="eastAsia" w:ascii="Times New Roman" w:hAnsi="Times New Roman" w:eastAsia="仿宋_GB2312" w:cs="Times New Roman"/>
          <w:color w:val="000000" w:themeColor="text1"/>
          <w:sz w:val="28"/>
          <w:szCs w:val="28"/>
          <w14:textFill>
            <w14:solidFill>
              <w14:schemeClr w14:val="tx1"/>
            </w14:solidFill>
          </w14:textFill>
        </w:rPr>
        <w:t>。乘借筹办全市第五届旅发大会的东风，着力抓产业游，以羊绒小镇改造带动产业升级、形象提升；着力抓生态游，以万亩山楂生态林为依托，打造</w:t>
      </w:r>
      <w:r>
        <w:rPr>
          <w:rFonts w:hint="eastAsia" w:ascii="Times New Roman" w:hAnsi="Times New Roman" w:eastAsia="仿宋_GB2312" w:cs="Times New Roman"/>
          <w:color w:val="000000" w:themeColor="text1"/>
          <w:spacing w:val="-11"/>
          <w:sz w:val="28"/>
          <w:szCs w:val="28"/>
          <w14:textFill>
            <w14:solidFill>
              <w14:schemeClr w14:val="tx1"/>
            </w14:solidFill>
          </w14:textFill>
        </w:rPr>
        <w:t>农业生态游；着力抓文化游，深入挖掘整合张氏文化、运河文化、武松文化、金瓶梅文化、状元文化等特色文化资源，打造北方平原县域旅游发展新亮点。</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outlineLvl w:val="2"/>
        <w:rPr>
          <w:rFonts w:ascii="楷体_GB2312" w:hAnsi="楷体_GB2312" w:eastAsia="楷体_GB2312" w:cs="楷体_GB2312"/>
          <w:b w:val="0"/>
          <w:bCs w:val="0"/>
          <w:color w:val="000000" w:themeColor="text1"/>
          <w:sz w:val="28"/>
          <w:szCs w:val="28"/>
          <w14:textFill>
            <w14:solidFill>
              <w14:schemeClr w14:val="tx1"/>
            </w14:solidFill>
          </w14:textFill>
        </w:rPr>
      </w:pPr>
      <w:bookmarkStart w:id="105" w:name="_Toc12735"/>
      <w:bookmarkStart w:id="106" w:name="_Toc27175"/>
      <w:r>
        <w:rPr>
          <w:rFonts w:hint="eastAsia" w:ascii="楷体_GB2312" w:hAnsi="楷体_GB2312" w:eastAsia="楷体_GB2312" w:cs="楷体_GB2312"/>
          <w:b w:val="0"/>
          <w:bCs w:val="0"/>
          <w:color w:val="000000" w:themeColor="text1"/>
          <w:sz w:val="28"/>
          <w:szCs w:val="28"/>
          <w14:textFill>
            <w14:solidFill>
              <w14:schemeClr w14:val="tx1"/>
            </w14:solidFill>
          </w14:textFill>
        </w:rPr>
        <w:t>（二）功能布局：一核三带</w:t>
      </w:r>
      <w:bookmarkEnd w:id="105"/>
      <w:bookmarkEnd w:id="106"/>
    </w:p>
    <w:p>
      <w:pPr>
        <w:keepNext w:val="0"/>
        <w:keepLines w:val="0"/>
        <w:pageBreakBefore w:val="0"/>
        <w:widowControl w:val="0"/>
        <w:kinsoku/>
        <w:wordWrap/>
        <w:overflowPunct/>
        <w:topLinePunct w:val="0"/>
        <w:autoSpaceDE/>
        <w:autoSpaceDN/>
        <w:bidi w:val="0"/>
        <w:spacing w:line="500" w:lineRule="exact"/>
        <w:ind w:firstLine="562"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一核</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Times New Roman" w:hAnsi="Times New Roman" w:eastAsia="仿宋_GB2312" w:cs="Times New Roman"/>
          <w:b/>
          <w:bCs/>
          <w:color w:val="000000" w:themeColor="text1"/>
          <w:sz w:val="28"/>
          <w:szCs w:val="28"/>
          <w14:textFill>
            <w14:solidFill>
              <w14:schemeClr w14:val="tx1"/>
            </w14:solidFill>
          </w14:textFill>
        </w:rPr>
        <w:t>打造中心城区</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具体打造四大板块：一是生活区。以25.8平方公里的建成区为主体，完善城市配套，补齐绿地、游园等短板，让人民生活更加宜居。二是生产区。以经济开发区为主体，严格按照“234+1.5”标准，推动产业、企业向开发区集聚。三是商贸流通区。以高铁片区和羊绒</w:t>
      </w:r>
      <w:r>
        <w:rPr>
          <w:rFonts w:hint="eastAsia" w:ascii="仿宋_GB2312" w:hAnsi="仿宋_GB2312" w:eastAsia="仿宋_GB2312" w:cs="仿宋_GB2312"/>
          <w:color w:val="000000" w:themeColor="text1"/>
          <w:spacing w:val="-11"/>
          <w:sz w:val="28"/>
          <w:szCs w:val="28"/>
          <w14:textFill>
            <w14:solidFill>
              <w14:schemeClr w14:val="tx1"/>
            </w14:solidFill>
          </w14:textFill>
        </w:rPr>
        <w:t>小镇为主体，发展楼宇经济、创意经济、城市综合体等经济新业态。四是生态涵养区。以万亩山楂林为主体，加快打造清河县城的康养宜居后花园。</w:t>
      </w:r>
    </w:p>
    <w:p>
      <w:pPr>
        <w:keepNext w:val="0"/>
        <w:keepLines w:val="0"/>
        <w:pageBreakBefore w:val="0"/>
        <w:widowControl w:val="0"/>
        <w:kinsoku/>
        <w:wordWrap/>
        <w:overflowPunct/>
        <w:topLinePunct w:val="0"/>
        <w:autoSpaceDE/>
        <w:autoSpaceDN/>
        <w:bidi w:val="0"/>
        <w:spacing w:line="500" w:lineRule="exact"/>
        <w:ind w:firstLine="562" w:firstLineChars="200"/>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三带：</w:t>
      </w:r>
      <w:r>
        <w:rPr>
          <w:rFonts w:hint="eastAsia" w:ascii="Times New Roman" w:hAnsi="Times New Roman" w:eastAsia="仿宋_GB2312" w:cs="Times New Roman"/>
          <w:b/>
          <w:bCs/>
          <w:color w:val="000000" w:themeColor="text1"/>
          <w:sz w:val="28"/>
          <w:szCs w:val="28"/>
          <w14:textFill>
            <w14:solidFill>
              <w14:schemeClr w14:val="tx1"/>
            </w14:solidFill>
          </w14:textFill>
        </w:rPr>
        <w:t>打造现代农业示范带</w:t>
      </w:r>
      <w:r>
        <w:rPr>
          <w:rFonts w:hint="eastAsia" w:ascii="Times New Roman" w:hAnsi="Times New Roman" w:eastAsia="仿宋_GB2312" w:cs="Times New Roman"/>
          <w:color w:val="000000" w:themeColor="text1"/>
          <w:sz w:val="28"/>
          <w:szCs w:val="28"/>
          <w14:textFill>
            <w14:solidFill>
              <w14:schemeClr w14:val="tx1"/>
            </w14:solidFill>
          </w14:textFill>
        </w:rPr>
        <w:t>。沿秦黄路和民兴渠一线，着力引进一批带动能力强的农业龙头项目，发展高效、规模、特色种植，推动“千斤粮、万元钱”工程扩面，加快农业结构调整，推动农民增收致富。</w:t>
      </w:r>
      <w:r>
        <w:rPr>
          <w:rFonts w:hint="eastAsia" w:ascii="Times New Roman" w:hAnsi="Times New Roman" w:eastAsia="仿宋_GB2312" w:cs="Times New Roman"/>
          <w:b/>
          <w:bCs/>
          <w:color w:val="000000" w:themeColor="text1"/>
          <w:sz w:val="28"/>
          <w:szCs w:val="28"/>
          <w14:textFill>
            <w14:solidFill>
              <w14:schemeClr w14:val="tx1"/>
            </w14:solidFill>
          </w14:textFill>
        </w:rPr>
        <w:t>打造大运河文化旅游带。</w:t>
      </w:r>
      <w:r>
        <w:rPr>
          <w:rFonts w:hint="eastAsia" w:ascii="Times New Roman" w:hAnsi="Times New Roman" w:eastAsia="仿宋_GB2312" w:cs="Times New Roman"/>
          <w:color w:val="000000" w:themeColor="text1"/>
          <w:sz w:val="28"/>
          <w:szCs w:val="28"/>
          <w14:textFill>
            <w14:solidFill>
              <w14:schemeClr w14:val="tx1"/>
            </w14:solidFill>
          </w14:textFill>
        </w:rPr>
        <w:t>依托流经我县的大运河，充分挖掘、发挥大运河油坊码头、朱唐口险工等3个国保单位历史文化资源，完善旅游设施，打造旅游名片，以旅游带动资源优化提升。</w:t>
      </w:r>
      <w:r>
        <w:rPr>
          <w:rFonts w:hint="eastAsia" w:ascii="Times New Roman" w:hAnsi="Times New Roman" w:eastAsia="仿宋_GB2312" w:cs="Times New Roman"/>
          <w:b/>
          <w:bCs/>
          <w:color w:val="000000" w:themeColor="text1"/>
          <w:sz w:val="28"/>
          <w:szCs w:val="28"/>
          <w14:textFill>
            <w14:solidFill>
              <w14:schemeClr w14:val="tx1"/>
            </w14:solidFill>
          </w14:textFill>
        </w:rPr>
        <w:t>打造特色产业发展带。</w:t>
      </w:r>
      <w:r>
        <w:rPr>
          <w:rFonts w:hint="eastAsia" w:ascii="Times New Roman" w:hAnsi="Times New Roman" w:eastAsia="仿宋_GB2312" w:cs="Times New Roman"/>
          <w:color w:val="000000" w:themeColor="text1"/>
          <w:sz w:val="28"/>
          <w:szCs w:val="28"/>
          <w14:textFill>
            <w14:solidFill>
              <w14:schemeClr w14:val="tx1"/>
            </w14:solidFill>
          </w14:textFill>
        </w:rPr>
        <w:t>立足各镇工业基础，充分发挥羊绒、汽车零部件、合金等产业基础优势，通过技术提升、设备提升、环保倒逼提升，带动产业进一步向更高层次迈进。主要是以葛仙庄东部和连庄、谢炉、油坊三个镇为主，打造羊绒产业带；以葛仙庄西部、王官庄镇为主，打造汽车零部件产业带；以连庄镇为主打造合金产业带。</w:t>
      </w:r>
    </w:p>
    <w:p>
      <w:pPr>
        <w:pStyle w:val="5"/>
        <w:keepNext w:val="0"/>
        <w:keepLines w:val="0"/>
        <w:pageBreakBefore w:val="0"/>
        <w:widowControl w:val="0"/>
        <w:kinsoku/>
        <w:wordWrap/>
        <w:overflowPunct/>
        <w:topLinePunct w:val="0"/>
        <w:autoSpaceDE/>
        <w:autoSpaceDN/>
        <w:bidi w:val="0"/>
        <w:spacing w:before="0" w:after="0" w:line="500" w:lineRule="exact"/>
        <w:ind w:firstLine="560" w:firstLineChars="200"/>
        <w:textAlignment w:val="auto"/>
        <w:rPr>
          <w:rFonts w:ascii="黑体" w:hAnsi="黑体" w:eastAsia="黑体"/>
          <w:b w:val="0"/>
          <w:bCs w:val="0"/>
          <w:color w:val="000000" w:themeColor="text1"/>
          <w:sz w:val="28"/>
          <w:szCs w:val="28"/>
          <w14:textFill>
            <w14:solidFill>
              <w14:schemeClr w14:val="tx1"/>
            </w14:solidFill>
          </w14:textFill>
        </w:rPr>
      </w:pPr>
      <w:bookmarkStart w:id="107" w:name="_Toc19557"/>
      <w:bookmarkStart w:id="108" w:name="_Toc8173"/>
      <w:bookmarkStart w:id="109" w:name="_Toc25726"/>
      <w:r>
        <w:rPr>
          <w:rFonts w:hint="eastAsia" w:ascii="黑体" w:hAnsi="黑体" w:eastAsia="黑体"/>
          <w:b w:val="0"/>
          <w:bCs w:val="0"/>
          <w:color w:val="000000" w:themeColor="text1"/>
          <w:sz w:val="28"/>
          <w:szCs w:val="28"/>
          <w14:textFill>
            <w14:solidFill>
              <w14:schemeClr w14:val="tx1"/>
            </w14:solidFill>
          </w14:textFill>
        </w:rPr>
        <w:t>二、发展目标</w:t>
      </w:r>
      <w:bookmarkEnd w:id="101"/>
      <w:bookmarkEnd w:id="107"/>
      <w:bookmarkEnd w:id="108"/>
      <w:bookmarkEnd w:id="109"/>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以深化供给侧结构性改革为主线，以改革创新为根本动力，以满足人民日益增长的美好生活需要为根本目的，以省委“三六八九”、市委“一三五十”和县委“三三五一”工作思路为引领，深入开展“树正气、转作风、优环境、促发展”活动，争三夺二拼第一，全力打造“一城三区”“一核三带”，坚定不移当好邢台高质量赶超发展先锋队和领头羊，实现“邢台领头、河北一流、全国上游”的宏伟目标。具体</w:t>
      </w:r>
      <w:r>
        <w:rPr>
          <w:rFonts w:ascii="Times New Roman" w:hAnsi="Times New Roman" w:eastAsia="仿宋_GB2312" w:cs="Times New Roman"/>
          <w:color w:val="000000" w:themeColor="text1"/>
          <w:sz w:val="28"/>
          <w:szCs w:val="28"/>
          <w14:textFill>
            <w14:solidFill>
              <w14:schemeClr w14:val="tx1"/>
            </w14:solidFill>
          </w14:textFill>
        </w:rPr>
        <w:t>目标如下：</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outlineLvl w:val="2"/>
        <w:rPr>
          <w:rFonts w:ascii="楷体_GB2312" w:hAnsi="楷体_GB2312" w:eastAsia="楷体_GB2312" w:cs="楷体_GB2312"/>
          <w:b w:val="0"/>
          <w:bCs w:val="0"/>
          <w:color w:val="000000" w:themeColor="text1"/>
          <w:sz w:val="28"/>
          <w:szCs w:val="28"/>
          <w14:textFill>
            <w14:solidFill>
              <w14:schemeClr w14:val="tx1"/>
            </w14:solidFill>
          </w14:textFill>
        </w:rPr>
      </w:pPr>
      <w:bookmarkStart w:id="110" w:name="_Toc26597"/>
      <w:bookmarkStart w:id="111" w:name="_Toc16688"/>
      <w:r>
        <w:rPr>
          <w:rFonts w:hint="eastAsia" w:ascii="楷体_GB2312" w:hAnsi="楷体_GB2312" w:eastAsia="楷体_GB2312" w:cs="楷体_GB2312"/>
          <w:b w:val="0"/>
          <w:bCs w:val="0"/>
          <w:color w:val="000000" w:themeColor="text1"/>
          <w:sz w:val="28"/>
          <w:szCs w:val="28"/>
          <w14:textFill>
            <w14:solidFill>
              <w14:schemeClr w14:val="tx1"/>
            </w14:solidFill>
          </w14:textFill>
        </w:rPr>
        <w:t>（一）综合实力更强</w:t>
      </w:r>
      <w:bookmarkEnd w:id="110"/>
      <w:bookmarkEnd w:id="111"/>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bookmarkStart w:id="112" w:name="_Hlk63337519"/>
      <w:r>
        <w:rPr>
          <w:rFonts w:hint="eastAsia" w:ascii="仿宋_GB2312" w:hAnsi="仿宋_GB2312" w:eastAsia="仿宋_GB2312" w:cs="仿宋_GB2312"/>
          <w:color w:val="000000" w:themeColor="text1"/>
          <w:sz w:val="28"/>
          <w:szCs w:val="28"/>
          <w14:textFill>
            <w14:solidFill>
              <w14:schemeClr w14:val="tx1"/>
            </w14:solidFill>
          </w14:textFill>
        </w:rPr>
        <w:t>经济持续健康发展，产业转型升级成效更加显著，创新能力明显提高。全县生产总值力争保持年均增长</w:t>
      </w:r>
      <w:r>
        <w:rPr>
          <w:rFonts w:ascii="仿宋_GB2312" w:hAnsi="仿宋_GB2312" w:eastAsia="仿宋_GB2312" w:cs="仿宋_GB2312"/>
          <w:color w:val="000000" w:themeColor="text1"/>
          <w:sz w:val="28"/>
          <w:szCs w:val="28"/>
          <w14:textFill>
            <w14:solidFill>
              <w14:schemeClr w14:val="tx1"/>
            </w14:solidFill>
          </w14:textFill>
        </w:rPr>
        <w:t>7</w:t>
      </w:r>
      <w:r>
        <w:rPr>
          <w:rFonts w:hint="eastAsia" w:ascii="仿宋_GB2312" w:hAnsi="仿宋_GB2312" w:eastAsia="仿宋_GB2312" w:cs="仿宋_GB2312"/>
          <w:color w:val="000000" w:themeColor="text1"/>
          <w:sz w:val="28"/>
          <w:szCs w:val="28"/>
          <w14:textFill>
            <w14:solidFill>
              <w14:schemeClr w14:val="tx1"/>
            </w14:solidFill>
          </w14:textFill>
        </w:rPr>
        <w:t>%左右</w:t>
      </w:r>
      <w:bookmarkEnd w:id="112"/>
      <w:r>
        <w:rPr>
          <w:rFonts w:hint="eastAsia" w:ascii="仿宋_GB2312" w:hAnsi="仿宋_GB2312" w:eastAsia="仿宋_GB2312" w:cs="仿宋_GB2312"/>
          <w:color w:val="000000" w:themeColor="text1"/>
          <w:sz w:val="28"/>
          <w:szCs w:val="28"/>
          <w14:textFill>
            <w14:solidFill>
              <w14:schemeClr w14:val="tx1"/>
            </w14:solidFill>
          </w14:textFill>
        </w:rPr>
        <w:t>，社会消费品零售总额力争实现年均增长8%以上，到2025年突破106亿元；财政收入实现稳步增长，固定资产投资更加有效，实体经济的发展支撑作用明显加强；形成先进制造业和现代服务业共同主导、传统产业高新化与新兴产业培育集聚双轮驱动的发展格局。</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outlineLvl w:val="2"/>
        <w:rPr>
          <w:rFonts w:ascii="楷体_GB2312" w:hAnsi="楷体_GB2312" w:eastAsia="楷体_GB2312" w:cs="楷体_GB2312"/>
          <w:b w:val="0"/>
          <w:bCs w:val="0"/>
          <w:color w:val="000000" w:themeColor="text1"/>
          <w:sz w:val="28"/>
          <w:szCs w:val="28"/>
          <w14:textFill>
            <w14:solidFill>
              <w14:schemeClr w14:val="tx1"/>
            </w14:solidFill>
          </w14:textFill>
        </w:rPr>
      </w:pPr>
      <w:bookmarkStart w:id="113" w:name="_Toc19915"/>
      <w:bookmarkStart w:id="114" w:name="_Toc13274"/>
      <w:r>
        <w:rPr>
          <w:rFonts w:hint="eastAsia" w:ascii="楷体_GB2312" w:hAnsi="楷体_GB2312" w:eastAsia="楷体_GB2312" w:cs="楷体_GB2312"/>
          <w:b w:val="0"/>
          <w:bCs w:val="0"/>
          <w:color w:val="000000" w:themeColor="text1"/>
          <w:sz w:val="28"/>
          <w:szCs w:val="28"/>
          <w14:textFill>
            <w14:solidFill>
              <w14:schemeClr w14:val="tx1"/>
            </w14:solidFill>
          </w14:textFill>
        </w:rPr>
        <w:t>（二）城乡发展更快</w:t>
      </w:r>
      <w:bookmarkEnd w:id="113"/>
      <w:bookmarkEnd w:id="114"/>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新型城镇化建设取得新突破，城市功能进一步完善，城市承载力明显提高，县城常住人口突破</w:t>
      </w:r>
      <w:r>
        <w:rPr>
          <w:rFonts w:ascii="仿宋_GB2312" w:hAnsi="仿宋_GB2312" w:eastAsia="仿宋_GB2312" w:cs="仿宋_GB2312"/>
          <w:color w:val="000000" w:themeColor="text1"/>
          <w:sz w:val="28"/>
          <w:szCs w:val="28"/>
          <w14:textFill>
            <w14:solidFill>
              <w14:schemeClr w14:val="tx1"/>
            </w14:solidFill>
          </w14:textFill>
        </w:rPr>
        <w:t>24</w:t>
      </w:r>
      <w:r>
        <w:rPr>
          <w:rFonts w:hint="eastAsia" w:ascii="仿宋_GB2312" w:hAnsi="仿宋_GB2312" w:eastAsia="仿宋_GB2312" w:cs="仿宋_GB2312"/>
          <w:color w:val="000000" w:themeColor="text1"/>
          <w:sz w:val="28"/>
          <w:szCs w:val="28"/>
          <w14:textFill>
            <w14:solidFill>
              <w14:schemeClr w14:val="tx1"/>
            </w14:solidFill>
          </w14:textFill>
        </w:rPr>
        <w:t>万，全县城镇化率达到6</w:t>
      </w:r>
      <w:r>
        <w:rPr>
          <w:rFonts w:ascii="仿宋_GB2312" w:hAnsi="仿宋_GB2312" w:eastAsia="仿宋_GB2312" w:cs="仿宋_GB2312"/>
          <w:color w:val="000000" w:themeColor="text1"/>
          <w:sz w:val="28"/>
          <w:szCs w:val="28"/>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%以上。乡村振兴取得阶段性进展，制度框架和政策体系基本成熟，农业农村现代化取得实质性进展。城乡协调性明显增强。</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outlineLvl w:val="2"/>
        <w:rPr>
          <w:rFonts w:ascii="楷体_GB2312" w:hAnsi="楷体_GB2312" w:eastAsia="楷体_GB2312" w:cs="楷体_GB2312"/>
          <w:b w:val="0"/>
          <w:bCs w:val="0"/>
          <w:color w:val="000000" w:themeColor="text1"/>
          <w:sz w:val="28"/>
          <w:szCs w:val="28"/>
          <w14:textFill>
            <w14:solidFill>
              <w14:schemeClr w14:val="tx1"/>
            </w14:solidFill>
          </w14:textFill>
        </w:rPr>
      </w:pPr>
      <w:bookmarkStart w:id="115" w:name="_Toc1326"/>
      <w:bookmarkStart w:id="116" w:name="_Toc31610"/>
      <w:r>
        <w:rPr>
          <w:rFonts w:hint="eastAsia" w:ascii="楷体_GB2312" w:hAnsi="楷体_GB2312" w:eastAsia="楷体_GB2312" w:cs="楷体_GB2312"/>
          <w:b w:val="0"/>
          <w:bCs w:val="0"/>
          <w:color w:val="000000" w:themeColor="text1"/>
          <w:sz w:val="28"/>
          <w:szCs w:val="28"/>
          <w14:textFill>
            <w14:solidFill>
              <w14:schemeClr w14:val="tx1"/>
            </w14:solidFill>
          </w14:textFill>
        </w:rPr>
        <w:t>（三）发展动力更足</w:t>
      </w:r>
      <w:bookmarkEnd w:id="115"/>
      <w:bookmarkEnd w:id="116"/>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重点领域改革取得突破性进展，改革红利持续释放，体制机制、经济循环更加顺畅，创新驱动更加显著，营商环境更加优化，初步建成开放型经济发展新格局。羊绒、汽车及零部件等传统产业高端化全面提升，“大好高优”项目招商不断突破，老母鸡企业、瞪羚企业数量快速增加，产业链供应链水平不断提升。</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outlineLvl w:val="2"/>
        <w:rPr>
          <w:rFonts w:ascii="楷体_GB2312" w:hAnsi="楷体_GB2312" w:eastAsia="楷体_GB2312" w:cs="楷体_GB2312"/>
          <w:b w:val="0"/>
          <w:bCs w:val="0"/>
          <w:color w:val="000000" w:themeColor="text1"/>
          <w:sz w:val="28"/>
          <w:szCs w:val="28"/>
          <w14:textFill>
            <w14:solidFill>
              <w14:schemeClr w14:val="tx1"/>
            </w14:solidFill>
          </w14:textFill>
        </w:rPr>
      </w:pPr>
      <w:bookmarkStart w:id="117" w:name="_Toc2700"/>
      <w:bookmarkStart w:id="118" w:name="_Toc31385"/>
      <w:r>
        <w:rPr>
          <w:rFonts w:hint="eastAsia" w:ascii="楷体_GB2312" w:hAnsi="楷体_GB2312" w:eastAsia="楷体_GB2312" w:cs="楷体_GB2312"/>
          <w:b w:val="0"/>
          <w:bCs w:val="0"/>
          <w:color w:val="000000" w:themeColor="text1"/>
          <w:sz w:val="28"/>
          <w:szCs w:val="28"/>
          <w14:textFill>
            <w14:solidFill>
              <w14:schemeClr w14:val="tx1"/>
            </w14:solidFill>
          </w14:textFill>
        </w:rPr>
        <w:t>（四）生态环境更美</w:t>
      </w:r>
      <w:bookmarkEnd w:id="117"/>
      <w:bookmarkEnd w:id="118"/>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空气质量持续稳定改善，优良天数持续增加</w:t>
      </w:r>
      <w:r>
        <w:rPr>
          <w:rFonts w:hint="eastAsia" w:ascii="Times New Roman" w:hAnsi="Times New Roman" w:eastAsia="仿宋_GB2312" w:cs="Times New Roman"/>
          <w:color w:val="000000" w:themeColor="text1"/>
          <w:sz w:val="28"/>
          <w:szCs w:val="28"/>
          <w14:textFill>
            <w14:solidFill>
              <w14:schemeClr w14:val="tx1"/>
            </w14:solidFill>
          </w14:textFill>
        </w:rPr>
        <w:t>。地下水质量保持稳定，饮用水安全保障水平持续提升。土壤环境质量继续保持较好态势。生态系统稳定恢复，突出环境问题得到有效解决，生态风险得到有效控制，</w:t>
      </w:r>
      <w:r>
        <w:rPr>
          <w:rFonts w:ascii="Times New Roman" w:hAnsi="Times New Roman" w:eastAsia="仿宋_GB2312" w:cs="Times New Roman"/>
          <w:color w:val="000000" w:themeColor="text1"/>
          <w:sz w:val="28"/>
          <w:szCs w:val="28"/>
          <w14:textFill>
            <w14:solidFill>
              <w14:schemeClr w14:val="tx1"/>
            </w14:solidFill>
          </w14:textFill>
        </w:rPr>
        <w:t>生态环境质量明显改善</w:t>
      </w:r>
      <w:r>
        <w:rPr>
          <w:rFonts w:hint="eastAsia" w:ascii="Times New Roman" w:hAnsi="Times New Roman" w:eastAsia="仿宋_GB2312" w:cs="Times New Roman"/>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outlineLvl w:val="2"/>
        <w:rPr>
          <w:rFonts w:ascii="楷体_GB2312" w:hAnsi="楷体_GB2312" w:eastAsia="楷体_GB2312" w:cs="楷体_GB2312"/>
          <w:b w:val="0"/>
          <w:bCs w:val="0"/>
          <w:color w:val="000000" w:themeColor="text1"/>
          <w:sz w:val="28"/>
          <w:szCs w:val="28"/>
          <w14:textFill>
            <w14:solidFill>
              <w14:schemeClr w14:val="tx1"/>
            </w14:solidFill>
          </w14:textFill>
        </w:rPr>
      </w:pPr>
      <w:bookmarkStart w:id="119" w:name="_Toc7332"/>
      <w:bookmarkStart w:id="120" w:name="_Toc912"/>
      <w:r>
        <w:rPr>
          <w:rFonts w:hint="eastAsia" w:ascii="楷体_GB2312" w:hAnsi="楷体_GB2312" w:eastAsia="楷体_GB2312" w:cs="楷体_GB2312"/>
          <w:b w:val="0"/>
          <w:bCs w:val="0"/>
          <w:color w:val="000000" w:themeColor="text1"/>
          <w:sz w:val="28"/>
          <w:szCs w:val="28"/>
          <w14:textFill>
            <w14:solidFill>
              <w14:schemeClr w14:val="tx1"/>
            </w14:solidFill>
          </w14:textFill>
        </w:rPr>
        <w:t>（五）人民生活更好</w:t>
      </w:r>
      <w:bookmarkEnd w:id="119"/>
      <w:bookmarkEnd w:id="120"/>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实现更加充分高质量就业，居民收入来源更加广泛，居民收入增长和经济增长基本同步，城乡居民收入差距逐步缩小。基本公共服务均等化水平不断提高，多层次社会保障体系更加完善，脱贫成果更加巩固。社会事业全面均衡发展，更好满足人民群众物质文化需求。</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outlineLvl w:val="2"/>
        <w:rPr>
          <w:rFonts w:ascii="楷体_GB2312" w:hAnsi="楷体_GB2312" w:eastAsia="楷体_GB2312" w:cs="楷体_GB2312"/>
          <w:b w:val="0"/>
          <w:bCs/>
          <w:color w:val="000000" w:themeColor="text1"/>
          <w:kern w:val="0"/>
          <w:sz w:val="28"/>
          <w:szCs w:val="28"/>
          <w14:textFill>
            <w14:solidFill>
              <w14:schemeClr w14:val="tx1"/>
            </w14:solidFill>
          </w14:textFill>
        </w:rPr>
      </w:pPr>
      <w:bookmarkStart w:id="121" w:name="_Toc23962"/>
      <w:bookmarkStart w:id="122" w:name="_Toc28796"/>
      <w:r>
        <w:rPr>
          <w:rFonts w:hint="eastAsia" w:ascii="楷体_GB2312" w:hAnsi="楷体_GB2312" w:eastAsia="楷体_GB2312" w:cs="楷体_GB2312"/>
          <w:b w:val="0"/>
          <w:bCs/>
          <w:color w:val="000000" w:themeColor="text1"/>
          <w:kern w:val="0"/>
          <w:sz w:val="28"/>
          <w:szCs w:val="28"/>
          <w14:textFill>
            <w14:solidFill>
              <w14:schemeClr w14:val="tx1"/>
            </w14:solidFill>
          </w14:textFill>
        </w:rPr>
        <w:t>（六）社会治理更优</w:t>
      </w:r>
      <w:bookmarkEnd w:id="121"/>
      <w:bookmarkEnd w:id="122"/>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color w:val="000000" w:themeColor="text1"/>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全县社会治理体系更加完善，共建共治共享社会治理格局初步形成，党群干群关系更加密切，社会治理现代化水平大幅度提升。风险预测预警预防能力明显提高，重特大刑事案件、群体性事件、公共安全事件明显减少，人民群众安全感、满意度进一步增强。</w:t>
      </w:r>
      <w:bookmarkStart w:id="123" w:name="_Toc892"/>
      <w:r>
        <w:rPr>
          <w:color w:val="000000" w:themeColor="text1"/>
          <w14:textFill>
            <w14:solidFill>
              <w14:schemeClr w14:val="tx1"/>
            </w14:solidFill>
          </w14:textFill>
        </w:rPr>
        <w:br w:type="page"/>
      </w:r>
    </w:p>
    <w:p>
      <w:pPr>
        <w:keepNext w:val="0"/>
        <w:keepLines w:val="0"/>
        <w:pageBreakBefore w:val="0"/>
        <w:widowControl w:val="0"/>
        <w:kinsoku/>
        <w:wordWrap/>
        <w:overflowPunct/>
        <w:topLinePunct w:val="0"/>
        <w:autoSpaceDE/>
        <w:autoSpaceDN/>
        <w:bidi w:val="0"/>
        <w:jc w:val="center"/>
        <w:textAlignment w:val="auto"/>
        <w:outlineLvl w:val="2"/>
        <w:rPr>
          <w:rFonts w:ascii="方正小标宋简体" w:hAnsi="方正小标宋简体" w:eastAsia="方正小标宋简体" w:cs="方正小标宋简体"/>
          <w:color w:val="000000" w:themeColor="text1"/>
          <w:sz w:val="36"/>
          <w:szCs w:val="40"/>
          <w14:textFill>
            <w14:solidFill>
              <w14:schemeClr w14:val="tx1"/>
            </w14:solidFill>
          </w14:textFill>
        </w:rPr>
      </w:pPr>
      <w:bookmarkStart w:id="124" w:name="_Toc7909"/>
      <w:bookmarkStart w:id="125" w:name="_Toc63332978"/>
      <w:bookmarkStart w:id="126" w:name="_Toc14866"/>
      <w:bookmarkStart w:id="127" w:name="_Toc32348"/>
      <w:r>
        <w:rPr>
          <w:rFonts w:hint="eastAsia" w:ascii="方正小标宋简体" w:hAnsi="方正小标宋简体" w:eastAsia="方正小标宋简体" w:cs="方正小标宋简体"/>
          <w:color w:val="000000" w:themeColor="text1"/>
          <w:sz w:val="36"/>
          <w:szCs w:val="40"/>
          <w14:textFill>
            <w14:solidFill>
              <w14:schemeClr w14:val="tx1"/>
            </w14:solidFill>
          </w14:textFill>
        </w:rPr>
        <w:t>清河县“十四五”期间经济社会发展主要指标</w:t>
      </w:r>
      <w:bookmarkEnd w:id="124"/>
      <w:bookmarkEnd w:id="125"/>
      <w:bookmarkEnd w:id="126"/>
      <w:bookmarkEnd w:id="127"/>
    </w:p>
    <w:p>
      <w:pPr>
        <w:pStyle w:val="10"/>
        <w:keepNext w:val="0"/>
        <w:keepLines w:val="0"/>
        <w:pageBreakBefore w:val="0"/>
        <w:widowControl w:val="0"/>
        <w:kinsoku/>
        <w:wordWrap/>
        <w:overflowPunct/>
        <w:topLinePunct w:val="0"/>
        <w:autoSpaceDE/>
        <w:autoSpaceDN/>
        <w:bidi w:val="0"/>
        <w:textAlignment w:val="auto"/>
        <w:rPr>
          <w:color w:val="000000" w:themeColor="text1"/>
          <w14:textFill>
            <w14:solidFill>
              <w14:schemeClr w14:val="tx1"/>
            </w14:solidFill>
          </w14:textFill>
        </w:rPr>
      </w:pPr>
    </w:p>
    <w:tbl>
      <w:tblPr>
        <w:tblStyle w:val="30"/>
        <w:tblW w:w="8897" w:type="dxa"/>
        <w:jc w:val="center"/>
        <w:tblInd w:w="0" w:type="dxa"/>
        <w:tblLayout w:type="fixed"/>
        <w:tblCellMar>
          <w:top w:w="0" w:type="dxa"/>
          <w:left w:w="108" w:type="dxa"/>
          <w:bottom w:w="0" w:type="dxa"/>
          <w:right w:w="108" w:type="dxa"/>
        </w:tblCellMar>
      </w:tblPr>
      <w:tblGrid>
        <w:gridCol w:w="817"/>
        <w:gridCol w:w="4394"/>
        <w:gridCol w:w="1228"/>
        <w:gridCol w:w="1229"/>
        <w:gridCol w:w="1229"/>
      </w:tblGrid>
      <w:tr>
        <w:tblPrEx>
          <w:tblLayout w:type="fixed"/>
          <w:tblCellMar>
            <w:top w:w="0" w:type="dxa"/>
            <w:left w:w="108" w:type="dxa"/>
            <w:bottom w:w="0" w:type="dxa"/>
            <w:right w:w="108" w:type="dxa"/>
          </w:tblCellMar>
        </w:tblPrEx>
        <w:trPr>
          <w:trHeight w:val="38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jc w:val="center"/>
              <w:textAlignment w:val="auto"/>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类别</w:t>
            </w:r>
          </w:p>
        </w:tc>
        <w:tc>
          <w:tcPr>
            <w:tcW w:w="4394"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ind w:firstLine="420"/>
              <w:jc w:val="center"/>
              <w:textAlignment w:val="auto"/>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指标</w:t>
            </w:r>
          </w:p>
        </w:tc>
        <w:tc>
          <w:tcPr>
            <w:tcW w:w="122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jc w:val="center"/>
              <w:textAlignment w:val="auto"/>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2020年</w:t>
            </w:r>
          </w:p>
          <w:p>
            <w:pPr>
              <w:pStyle w:val="10"/>
              <w:keepNext w:val="0"/>
              <w:keepLines w:val="0"/>
              <w:pageBreakBefore w:val="0"/>
              <w:widowControl w:val="0"/>
              <w:kinsoku/>
              <w:wordWrap/>
              <w:overflowPunct/>
              <w:topLinePunct w:val="0"/>
              <w:autoSpaceDE/>
              <w:autoSpaceDN/>
              <w:bidi w:val="0"/>
              <w:spacing w:line="300" w:lineRule="exact"/>
              <w:jc w:val="center"/>
              <w:textAlignment w:val="auto"/>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基数</w:t>
            </w:r>
          </w:p>
        </w:tc>
        <w:tc>
          <w:tcPr>
            <w:tcW w:w="1229"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jc w:val="center"/>
              <w:textAlignment w:val="auto"/>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2025年</w:t>
            </w:r>
          </w:p>
          <w:p>
            <w:pPr>
              <w:pStyle w:val="10"/>
              <w:keepNext w:val="0"/>
              <w:keepLines w:val="0"/>
              <w:pageBreakBefore w:val="0"/>
              <w:widowControl w:val="0"/>
              <w:kinsoku/>
              <w:wordWrap/>
              <w:overflowPunct/>
              <w:topLinePunct w:val="0"/>
              <w:autoSpaceDE/>
              <w:autoSpaceDN/>
              <w:bidi w:val="0"/>
              <w:spacing w:line="300" w:lineRule="exact"/>
              <w:jc w:val="center"/>
              <w:textAlignment w:val="auto"/>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目标</w:t>
            </w:r>
          </w:p>
        </w:tc>
        <w:tc>
          <w:tcPr>
            <w:tcW w:w="1229"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jc w:val="center"/>
              <w:textAlignment w:val="auto"/>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年均增长</w:t>
            </w:r>
          </w:p>
          <w:p>
            <w:pPr>
              <w:pStyle w:val="10"/>
              <w:keepNext w:val="0"/>
              <w:keepLines w:val="0"/>
              <w:pageBreakBefore w:val="0"/>
              <w:widowControl w:val="0"/>
              <w:kinsoku/>
              <w:wordWrap/>
              <w:overflowPunct/>
              <w:topLinePunct w:val="0"/>
              <w:autoSpaceDE/>
              <w:autoSpaceDN/>
              <w:bidi w:val="0"/>
              <w:spacing w:line="300" w:lineRule="exact"/>
              <w:jc w:val="center"/>
              <w:textAlignment w:val="auto"/>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[累计]</w:t>
            </w:r>
          </w:p>
        </w:tc>
      </w:tr>
      <w:tr>
        <w:tblPrEx>
          <w:tblLayout w:type="fixed"/>
          <w:tblCellMar>
            <w:top w:w="0" w:type="dxa"/>
            <w:left w:w="108" w:type="dxa"/>
            <w:bottom w:w="0" w:type="dxa"/>
            <w:right w:w="108" w:type="dxa"/>
          </w:tblCellMar>
        </w:tblPrEx>
        <w:trPr>
          <w:trHeight w:val="225" w:hRule="atLeast"/>
          <w:jc w:val="center"/>
        </w:trPr>
        <w:tc>
          <w:tcPr>
            <w:tcW w:w="817" w:type="dxa"/>
            <w:vMerge w:val="restart"/>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jc w:val="center"/>
              <w:textAlignment w:val="auto"/>
              <w:rPr>
                <w:rFonts w:ascii="宋体" w:eastAsia="宋体" w:cs="宋体"/>
                <w:color w:val="000000" w:themeColor="text1"/>
                <w:szCs w:val="21"/>
                <w14:textFill>
                  <w14:solidFill>
                    <w14:schemeClr w14:val="tx1"/>
                  </w14:solidFill>
                </w14:textFill>
              </w:rPr>
            </w:pPr>
            <w:r>
              <w:rPr>
                <w:rFonts w:hint="eastAsia" w:ascii="宋体" w:eastAsia="宋体" w:cs="宋体"/>
                <w:color w:val="000000" w:themeColor="text1"/>
                <w:szCs w:val="21"/>
                <w14:textFill>
                  <w14:solidFill>
                    <w14:schemeClr w14:val="tx1"/>
                  </w14:solidFill>
                </w14:textFill>
              </w:rPr>
              <w:t>经济发展</w:t>
            </w:r>
          </w:p>
        </w:tc>
        <w:tc>
          <w:tcPr>
            <w:tcW w:w="4394"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spacing w:after="0" w:line="300" w:lineRule="exact"/>
              <w:ind w:left="0"/>
              <w:jc w:val="left"/>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1.地区生产总值（GDP）增长率（%）</w:t>
            </w:r>
          </w:p>
        </w:tc>
        <w:tc>
          <w:tcPr>
            <w:tcW w:w="122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jc w:val="center"/>
              <w:textAlignment w:val="auto"/>
              <w:rPr>
                <w:rFonts w:ascii="宋体" w:eastAsia="宋体" w:cs="宋体"/>
                <w:color w:val="000000" w:themeColor="text1"/>
                <w:szCs w:val="21"/>
                <w14:textFill>
                  <w14:solidFill>
                    <w14:schemeClr w14:val="tx1"/>
                  </w14:solidFill>
                </w14:textFill>
              </w:rPr>
            </w:pPr>
            <w:r>
              <w:rPr>
                <w:rFonts w:hint="eastAsia" w:ascii="宋体" w:eastAsia="宋体" w:cs="宋体"/>
                <w:color w:val="000000" w:themeColor="text1"/>
                <w:szCs w:val="21"/>
                <w14:textFill>
                  <w14:solidFill>
                    <w14:schemeClr w14:val="tx1"/>
                  </w14:solidFill>
                </w14:textFill>
              </w:rPr>
              <w:t>5</w:t>
            </w:r>
            <w:r>
              <w:rPr>
                <w:rFonts w:ascii="宋体" w:eastAsia="宋体" w:cs="宋体"/>
                <w:color w:val="000000" w:themeColor="text1"/>
                <w:szCs w:val="21"/>
                <w14:textFill>
                  <w14:solidFill>
                    <w14:schemeClr w14:val="tx1"/>
                  </w14:solidFill>
                </w14:textFill>
              </w:rPr>
              <w:t>.50</w:t>
            </w:r>
          </w:p>
        </w:tc>
        <w:tc>
          <w:tcPr>
            <w:tcW w:w="1229"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jc w:val="center"/>
              <w:textAlignment w:val="auto"/>
              <w:rPr>
                <w:rFonts w:ascii="宋体" w:eastAsia="宋体" w:cs="宋体"/>
                <w:color w:val="000000" w:themeColor="text1"/>
                <w:szCs w:val="21"/>
                <w14:textFill>
                  <w14:solidFill>
                    <w14:schemeClr w14:val="tx1"/>
                  </w14:solidFill>
                </w14:textFill>
              </w:rPr>
            </w:pPr>
            <w:r>
              <w:rPr>
                <w:rFonts w:ascii="宋体" w:eastAsia="宋体" w:cs="宋体"/>
                <w:color w:val="000000" w:themeColor="text1"/>
                <w:szCs w:val="21"/>
                <w14:textFill>
                  <w14:solidFill>
                    <w14:schemeClr w14:val="tx1"/>
                  </w14:solidFill>
                </w14:textFill>
              </w:rPr>
              <w:t>7</w:t>
            </w:r>
          </w:p>
        </w:tc>
        <w:tc>
          <w:tcPr>
            <w:tcW w:w="1229"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jc w:val="center"/>
              <w:textAlignment w:val="auto"/>
              <w:rPr>
                <w:rFonts w:ascii="宋体" w:eastAsia="宋体" w:cs="宋体"/>
                <w:color w:val="000000" w:themeColor="text1"/>
                <w:szCs w:val="21"/>
                <w14:textFill>
                  <w14:solidFill>
                    <w14:schemeClr w14:val="tx1"/>
                  </w14:solidFill>
                </w14:textFill>
              </w:rPr>
            </w:pPr>
            <w:r>
              <w:rPr>
                <w:rFonts w:hint="eastAsia" w:ascii="宋体" w:eastAsia="宋体" w:cs="宋体"/>
                <w:color w:val="000000" w:themeColor="text1"/>
                <w:szCs w:val="21"/>
                <w14:textFill>
                  <w14:solidFill>
                    <w14:schemeClr w14:val="tx1"/>
                  </w14:solidFill>
                </w14:textFill>
              </w:rPr>
              <w:t>7左右</w:t>
            </w:r>
          </w:p>
        </w:tc>
      </w:tr>
      <w:tr>
        <w:tblPrEx>
          <w:tblLayout w:type="fixed"/>
          <w:tblCellMar>
            <w:top w:w="0" w:type="dxa"/>
            <w:left w:w="108" w:type="dxa"/>
            <w:bottom w:w="0" w:type="dxa"/>
            <w:right w:w="108" w:type="dxa"/>
          </w:tblCellMar>
        </w:tblPrEx>
        <w:trPr>
          <w:trHeight w:val="216"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ind w:firstLine="420"/>
              <w:jc w:val="center"/>
              <w:textAlignment w:val="auto"/>
              <w:rPr>
                <w:rFonts w:ascii="宋体" w:eastAsia="宋体" w:cs="宋体"/>
                <w:color w:val="000000" w:themeColor="text1"/>
                <w:szCs w:val="21"/>
                <w14:textFill>
                  <w14:solidFill>
                    <w14:schemeClr w14:val="tx1"/>
                  </w14:solidFill>
                </w14:textFill>
              </w:rPr>
            </w:pPr>
          </w:p>
        </w:tc>
        <w:tc>
          <w:tcPr>
            <w:tcW w:w="43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00" w:lineRule="exact"/>
              <w:jc w:val="left"/>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2.常住人口城镇化率（%）</w:t>
            </w:r>
          </w:p>
        </w:tc>
        <w:tc>
          <w:tcPr>
            <w:tcW w:w="122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jc w:val="center"/>
              <w:textAlignment w:val="auto"/>
              <w:rPr>
                <w:rFonts w:ascii="宋体" w:eastAsia="宋体" w:cs="宋体"/>
                <w:color w:val="000000" w:themeColor="text1"/>
                <w:szCs w:val="21"/>
                <w14:textFill>
                  <w14:solidFill>
                    <w14:schemeClr w14:val="tx1"/>
                  </w14:solidFill>
                </w14:textFill>
              </w:rPr>
            </w:pPr>
            <w:r>
              <w:rPr>
                <w:rFonts w:hint="eastAsia" w:ascii="宋体" w:eastAsia="宋体" w:cs="宋体"/>
                <w:color w:val="000000" w:themeColor="text1"/>
                <w:szCs w:val="21"/>
                <w14:textFill>
                  <w14:solidFill>
                    <w14:schemeClr w14:val="tx1"/>
                  </w14:solidFill>
                </w14:textFill>
              </w:rPr>
              <w:t>预计</w:t>
            </w:r>
            <w:r>
              <w:rPr>
                <w:rFonts w:ascii="宋体" w:eastAsia="宋体" w:cs="宋体"/>
                <w:color w:val="000000" w:themeColor="text1"/>
                <w:szCs w:val="21"/>
                <w14:textFill>
                  <w14:solidFill>
                    <w14:schemeClr w14:val="tx1"/>
                  </w14:solidFill>
                </w14:textFill>
              </w:rPr>
              <w:t>59.75</w:t>
            </w:r>
          </w:p>
        </w:tc>
        <w:tc>
          <w:tcPr>
            <w:tcW w:w="1229"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jc w:val="center"/>
              <w:textAlignment w:val="auto"/>
              <w:rPr>
                <w:rFonts w:ascii="宋体" w:eastAsia="宋体" w:cs="宋体"/>
                <w:color w:val="000000" w:themeColor="text1"/>
                <w:szCs w:val="21"/>
                <w14:textFill>
                  <w14:solidFill>
                    <w14:schemeClr w14:val="tx1"/>
                  </w14:solidFill>
                </w14:textFill>
              </w:rPr>
            </w:pPr>
            <w:r>
              <w:rPr>
                <w:rFonts w:hint="eastAsia" w:ascii="宋体" w:eastAsia="宋体" w:cs="宋体"/>
                <w:color w:val="000000" w:themeColor="text1"/>
                <w:szCs w:val="21"/>
                <w14:textFill>
                  <w14:solidFill>
                    <w14:schemeClr w14:val="tx1"/>
                  </w14:solidFill>
                </w14:textFill>
              </w:rPr>
              <w:t>6</w:t>
            </w:r>
            <w:r>
              <w:rPr>
                <w:rFonts w:ascii="宋体" w:eastAsia="宋体" w:cs="宋体"/>
                <w:color w:val="000000" w:themeColor="text1"/>
                <w:szCs w:val="21"/>
                <w14:textFill>
                  <w14:solidFill>
                    <w14:schemeClr w14:val="tx1"/>
                  </w14:solidFill>
                </w14:textFill>
              </w:rPr>
              <w:t>2</w:t>
            </w:r>
          </w:p>
        </w:tc>
        <w:tc>
          <w:tcPr>
            <w:tcW w:w="1229"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jc w:val="center"/>
              <w:textAlignment w:val="auto"/>
              <w:rPr>
                <w:rFonts w:ascii="宋体" w:eastAsia="宋体" w:cs="宋体"/>
                <w:color w:val="000000" w:themeColor="text1"/>
                <w:szCs w:val="21"/>
                <w14:textFill>
                  <w14:solidFill>
                    <w14:schemeClr w14:val="tx1"/>
                  </w14:solidFill>
                </w14:textFill>
              </w:rPr>
            </w:pPr>
            <w:r>
              <w:rPr>
                <w:rFonts w:ascii="宋体" w:eastAsia="宋体" w:cs="宋体"/>
                <w:color w:val="000000" w:themeColor="text1"/>
                <w:szCs w:val="21"/>
                <w14:textFill>
                  <w14:solidFill>
                    <w14:schemeClr w14:val="tx1"/>
                  </w14:solidFill>
                </w14:textFill>
              </w:rPr>
              <w:t>[2.25]</w:t>
            </w:r>
          </w:p>
        </w:tc>
      </w:tr>
      <w:tr>
        <w:tblPrEx>
          <w:tblLayout w:type="fixed"/>
          <w:tblCellMar>
            <w:top w:w="0" w:type="dxa"/>
            <w:left w:w="108" w:type="dxa"/>
            <w:bottom w:w="0" w:type="dxa"/>
            <w:right w:w="108" w:type="dxa"/>
          </w:tblCellMar>
        </w:tblPrEx>
        <w:trPr>
          <w:trHeight w:val="350" w:hRule="atLeast"/>
          <w:jc w:val="center"/>
        </w:trPr>
        <w:tc>
          <w:tcPr>
            <w:tcW w:w="817" w:type="dxa"/>
            <w:vMerge w:val="restart"/>
            <w:tcBorders>
              <w:top w:val="single" w:color="auto" w:sz="4" w:space="0"/>
              <w:left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jc w:val="center"/>
              <w:textAlignment w:val="auto"/>
              <w:rPr>
                <w:rFonts w:ascii="宋体" w:eastAsia="宋体" w:cs="宋体"/>
                <w:color w:val="000000" w:themeColor="text1"/>
                <w:szCs w:val="21"/>
                <w14:textFill>
                  <w14:solidFill>
                    <w14:schemeClr w14:val="tx1"/>
                  </w14:solidFill>
                </w14:textFill>
              </w:rPr>
            </w:pPr>
            <w:r>
              <w:rPr>
                <w:rFonts w:hint="eastAsia" w:ascii="宋体" w:eastAsia="宋体" w:cs="宋体"/>
                <w:color w:val="000000" w:themeColor="text1"/>
                <w:szCs w:val="21"/>
                <w14:textFill>
                  <w14:solidFill>
                    <w14:schemeClr w14:val="tx1"/>
                  </w14:solidFill>
                </w14:textFill>
              </w:rPr>
              <w:t>创新</w:t>
            </w:r>
          </w:p>
          <w:p>
            <w:pPr>
              <w:pStyle w:val="10"/>
              <w:keepNext w:val="0"/>
              <w:keepLines w:val="0"/>
              <w:pageBreakBefore w:val="0"/>
              <w:widowControl w:val="0"/>
              <w:kinsoku/>
              <w:wordWrap/>
              <w:overflowPunct/>
              <w:topLinePunct w:val="0"/>
              <w:autoSpaceDE/>
              <w:autoSpaceDN/>
              <w:bidi w:val="0"/>
              <w:spacing w:line="300" w:lineRule="exact"/>
              <w:jc w:val="center"/>
              <w:textAlignment w:val="auto"/>
              <w:rPr>
                <w:rFonts w:ascii="宋体" w:eastAsia="宋体" w:cs="宋体"/>
                <w:color w:val="000000" w:themeColor="text1"/>
                <w:szCs w:val="21"/>
                <w14:textFill>
                  <w14:solidFill>
                    <w14:schemeClr w14:val="tx1"/>
                  </w14:solidFill>
                </w14:textFill>
              </w:rPr>
            </w:pPr>
            <w:r>
              <w:rPr>
                <w:rFonts w:hint="eastAsia" w:ascii="宋体" w:eastAsia="宋体" w:cs="宋体"/>
                <w:color w:val="000000" w:themeColor="text1"/>
                <w:szCs w:val="21"/>
                <w14:textFill>
                  <w14:solidFill>
                    <w14:schemeClr w14:val="tx1"/>
                  </w14:solidFill>
                </w14:textFill>
              </w:rPr>
              <w:t>驱动</w:t>
            </w:r>
          </w:p>
        </w:tc>
        <w:tc>
          <w:tcPr>
            <w:tcW w:w="4394"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spacing w:after="0" w:line="300" w:lineRule="exact"/>
              <w:ind w:left="0"/>
              <w:jc w:val="left"/>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3.研发经费支出占G</w:t>
            </w:r>
            <w:r>
              <w:rPr>
                <w:rFonts w:ascii="宋体" w:hAnsi="宋体" w:cs="宋体"/>
                <w:color w:val="000000" w:themeColor="text1"/>
                <w:szCs w:val="21"/>
                <w14:textFill>
                  <w14:solidFill>
                    <w14:schemeClr w14:val="tx1"/>
                  </w14:solidFill>
                </w14:textFill>
              </w:rPr>
              <w:t>DP</w:t>
            </w:r>
            <w:r>
              <w:rPr>
                <w:rFonts w:hint="eastAsia" w:ascii="宋体" w:hAnsi="宋体" w:cs="宋体"/>
                <w:color w:val="000000" w:themeColor="text1"/>
                <w:szCs w:val="21"/>
                <w14:textFill>
                  <w14:solidFill>
                    <w14:schemeClr w14:val="tx1"/>
                  </w14:solidFill>
                </w14:textFill>
              </w:rPr>
              <w:t>比重（%）</w:t>
            </w:r>
          </w:p>
        </w:tc>
        <w:tc>
          <w:tcPr>
            <w:tcW w:w="122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jc w:val="center"/>
              <w:textAlignment w:val="auto"/>
              <w:rPr>
                <w:rFonts w:ascii="宋体" w:eastAsia="宋体" w:cs="宋体"/>
                <w:color w:val="000000" w:themeColor="text1"/>
                <w:szCs w:val="21"/>
                <w14:textFill>
                  <w14:solidFill>
                    <w14:schemeClr w14:val="tx1"/>
                  </w14:solidFill>
                </w14:textFill>
              </w:rPr>
            </w:pPr>
            <w:r>
              <w:rPr>
                <w:rFonts w:ascii="宋体" w:eastAsia="宋体" w:cs="宋体"/>
                <w:color w:val="000000" w:themeColor="text1"/>
                <w:szCs w:val="21"/>
                <w14:textFill>
                  <w14:solidFill>
                    <w14:schemeClr w14:val="tx1"/>
                  </w14:solidFill>
                </w14:textFill>
              </w:rPr>
              <w:t>1.30</w:t>
            </w:r>
          </w:p>
        </w:tc>
        <w:tc>
          <w:tcPr>
            <w:tcW w:w="1229"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jc w:val="center"/>
              <w:textAlignment w:val="auto"/>
              <w:rPr>
                <w:rFonts w:ascii="宋体" w:eastAsia="宋体" w:cs="宋体"/>
                <w:color w:val="000000" w:themeColor="text1"/>
                <w:szCs w:val="21"/>
                <w14:textFill>
                  <w14:solidFill>
                    <w14:schemeClr w14:val="tx1"/>
                  </w14:solidFill>
                </w14:textFill>
              </w:rPr>
            </w:pPr>
            <w:r>
              <w:rPr>
                <w:rFonts w:hint="eastAsia" w:ascii="宋体" w:eastAsia="宋体" w:cs="宋体"/>
                <w:color w:val="000000" w:themeColor="text1"/>
                <w:szCs w:val="21"/>
                <w14:textFill>
                  <w14:solidFill>
                    <w14:schemeClr w14:val="tx1"/>
                  </w14:solidFill>
                </w14:textFill>
              </w:rPr>
              <w:t>2</w:t>
            </w:r>
          </w:p>
        </w:tc>
        <w:tc>
          <w:tcPr>
            <w:tcW w:w="1229"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jc w:val="center"/>
              <w:textAlignment w:val="auto"/>
              <w:rPr>
                <w:rFonts w:ascii="宋体" w:eastAsia="宋体" w:cs="宋体"/>
                <w:color w:val="000000" w:themeColor="text1"/>
                <w:szCs w:val="21"/>
                <w14:textFill>
                  <w14:solidFill>
                    <w14:schemeClr w14:val="tx1"/>
                  </w14:solidFill>
                </w14:textFill>
              </w:rPr>
            </w:pPr>
            <w:r>
              <w:rPr>
                <w:rFonts w:ascii="宋体" w:eastAsia="宋体" w:cs="宋体"/>
                <w:color w:val="000000" w:themeColor="text1"/>
                <w:szCs w:val="21"/>
                <w14:textFill>
                  <w14:solidFill>
                    <w14:schemeClr w14:val="tx1"/>
                  </w14:solidFill>
                </w14:textFill>
              </w:rPr>
              <w:t>[</w:t>
            </w:r>
            <w:r>
              <w:rPr>
                <w:rFonts w:hint="eastAsia" w:ascii="宋体" w:eastAsia="宋体" w:cs="宋体"/>
                <w:color w:val="000000" w:themeColor="text1"/>
                <w:szCs w:val="21"/>
                <w14:textFill>
                  <w14:solidFill>
                    <w14:schemeClr w14:val="tx1"/>
                  </w14:solidFill>
                </w14:textFill>
              </w:rPr>
              <w:t>0</w:t>
            </w:r>
            <w:r>
              <w:rPr>
                <w:rFonts w:ascii="宋体" w:eastAsia="宋体" w:cs="宋体"/>
                <w:color w:val="000000" w:themeColor="text1"/>
                <w:szCs w:val="21"/>
                <w14:textFill>
                  <w14:solidFill>
                    <w14:schemeClr w14:val="tx1"/>
                  </w14:solidFill>
                </w14:textFill>
              </w:rPr>
              <w:t>.70]</w:t>
            </w:r>
          </w:p>
        </w:tc>
      </w:tr>
      <w:tr>
        <w:tblPrEx>
          <w:tblLayout w:type="fixed"/>
          <w:tblCellMar>
            <w:top w:w="0" w:type="dxa"/>
            <w:left w:w="108" w:type="dxa"/>
            <w:bottom w:w="0" w:type="dxa"/>
            <w:right w:w="108" w:type="dxa"/>
          </w:tblCellMar>
        </w:tblPrEx>
        <w:trPr>
          <w:trHeight w:val="322" w:hRule="atLeast"/>
          <w:jc w:val="center"/>
        </w:trPr>
        <w:tc>
          <w:tcPr>
            <w:tcW w:w="817" w:type="dxa"/>
            <w:vMerge w:val="continue"/>
            <w:tcBorders>
              <w:left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ind w:firstLine="420"/>
              <w:jc w:val="center"/>
              <w:textAlignment w:val="auto"/>
              <w:rPr>
                <w:rFonts w:ascii="宋体" w:eastAsia="宋体" w:cs="宋体"/>
                <w:color w:val="000000" w:themeColor="text1"/>
                <w:szCs w:val="21"/>
                <w14:textFill>
                  <w14:solidFill>
                    <w14:schemeClr w14:val="tx1"/>
                  </w14:solidFill>
                </w14:textFill>
              </w:rPr>
            </w:pPr>
          </w:p>
        </w:tc>
        <w:tc>
          <w:tcPr>
            <w:tcW w:w="4394"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spacing w:after="0" w:line="300" w:lineRule="exact"/>
              <w:ind w:left="0"/>
              <w:jc w:val="left"/>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4.每万人口拥有高价值发明专利拥有数（件）</w:t>
            </w:r>
          </w:p>
        </w:tc>
        <w:tc>
          <w:tcPr>
            <w:tcW w:w="122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jc w:val="center"/>
              <w:textAlignment w:val="auto"/>
              <w:rPr>
                <w:rFonts w:ascii="宋体" w:eastAsia="宋体" w:cs="宋体"/>
                <w:color w:val="000000" w:themeColor="text1"/>
                <w:szCs w:val="21"/>
                <w14:textFill>
                  <w14:solidFill>
                    <w14:schemeClr w14:val="tx1"/>
                  </w14:solidFill>
                </w14:textFill>
              </w:rPr>
            </w:pPr>
            <w:r>
              <w:rPr>
                <w:rFonts w:hint="eastAsia" w:ascii="宋体" w:eastAsia="宋体" w:cs="宋体"/>
                <w:color w:val="000000" w:themeColor="text1"/>
                <w:szCs w:val="21"/>
                <w14:textFill>
                  <w14:solidFill>
                    <w14:schemeClr w14:val="tx1"/>
                  </w14:solidFill>
                </w14:textFill>
              </w:rPr>
              <w:t>1</w:t>
            </w:r>
            <w:r>
              <w:rPr>
                <w:rFonts w:ascii="宋体" w:eastAsia="宋体" w:cs="宋体"/>
                <w:color w:val="000000" w:themeColor="text1"/>
                <w:szCs w:val="21"/>
                <w14:textFill>
                  <w14:solidFill>
                    <w14:schemeClr w14:val="tx1"/>
                  </w14:solidFill>
                </w14:textFill>
              </w:rPr>
              <w:t>.89</w:t>
            </w:r>
          </w:p>
        </w:tc>
        <w:tc>
          <w:tcPr>
            <w:tcW w:w="1229"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jc w:val="center"/>
              <w:textAlignment w:val="auto"/>
              <w:rPr>
                <w:rFonts w:ascii="宋体" w:eastAsia="宋体" w:cs="宋体"/>
                <w:color w:val="000000" w:themeColor="text1"/>
                <w:szCs w:val="21"/>
                <w14:textFill>
                  <w14:solidFill>
                    <w14:schemeClr w14:val="tx1"/>
                  </w14:solidFill>
                </w14:textFill>
              </w:rPr>
            </w:pPr>
            <w:r>
              <w:rPr>
                <w:rFonts w:ascii="宋体" w:eastAsia="宋体" w:cs="宋体"/>
                <w:color w:val="000000" w:themeColor="text1"/>
                <w:szCs w:val="21"/>
                <w14:textFill>
                  <w14:solidFill>
                    <w14:schemeClr w14:val="tx1"/>
                  </w14:solidFill>
                </w14:textFill>
              </w:rPr>
              <w:t>2.50</w:t>
            </w:r>
          </w:p>
        </w:tc>
        <w:tc>
          <w:tcPr>
            <w:tcW w:w="1229"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jc w:val="center"/>
              <w:textAlignment w:val="auto"/>
              <w:rPr>
                <w:rFonts w:ascii="宋体" w:eastAsia="宋体" w:cs="宋体"/>
                <w:color w:val="000000" w:themeColor="text1"/>
                <w:szCs w:val="21"/>
                <w14:textFill>
                  <w14:solidFill>
                    <w14:schemeClr w14:val="tx1"/>
                  </w14:solidFill>
                </w14:textFill>
              </w:rPr>
            </w:pPr>
            <w:r>
              <w:rPr>
                <w:rFonts w:ascii="宋体" w:eastAsia="宋体" w:cs="宋体"/>
                <w:color w:val="000000" w:themeColor="text1"/>
                <w:szCs w:val="21"/>
                <w14:textFill>
                  <w14:solidFill>
                    <w14:schemeClr w14:val="tx1"/>
                  </w14:solidFill>
                </w14:textFill>
              </w:rPr>
              <w:t>[</w:t>
            </w:r>
            <w:r>
              <w:rPr>
                <w:rFonts w:hint="eastAsia" w:ascii="宋体" w:eastAsia="宋体" w:cs="宋体"/>
                <w:color w:val="000000" w:themeColor="text1"/>
                <w:szCs w:val="21"/>
                <w:lang w:val="en-US" w:eastAsia="zh-CN"/>
                <w14:textFill>
                  <w14:solidFill>
                    <w14:schemeClr w14:val="tx1"/>
                  </w14:solidFill>
                </w14:textFill>
              </w:rPr>
              <w:t>0.61</w:t>
            </w:r>
            <w:r>
              <w:rPr>
                <w:rFonts w:ascii="宋体" w:eastAsia="宋体" w:cs="宋体"/>
                <w:color w:val="000000" w:themeColor="text1"/>
                <w:szCs w:val="21"/>
                <w14:textFill>
                  <w14:solidFill>
                    <w14:schemeClr w14:val="tx1"/>
                  </w14:solidFill>
                </w14:textFill>
              </w:rPr>
              <w:t>]</w:t>
            </w:r>
          </w:p>
        </w:tc>
      </w:tr>
      <w:tr>
        <w:tblPrEx>
          <w:tblLayout w:type="fixed"/>
          <w:tblCellMar>
            <w:top w:w="0" w:type="dxa"/>
            <w:left w:w="108" w:type="dxa"/>
            <w:bottom w:w="0" w:type="dxa"/>
            <w:right w:w="108" w:type="dxa"/>
          </w:tblCellMar>
        </w:tblPrEx>
        <w:trPr>
          <w:trHeight w:val="322" w:hRule="atLeast"/>
          <w:jc w:val="center"/>
        </w:trPr>
        <w:tc>
          <w:tcPr>
            <w:tcW w:w="817" w:type="dxa"/>
            <w:vMerge w:val="continue"/>
            <w:tcBorders>
              <w:left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ind w:firstLine="420"/>
              <w:jc w:val="center"/>
              <w:textAlignment w:val="auto"/>
              <w:rPr>
                <w:rFonts w:ascii="宋体" w:eastAsia="宋体" w:cs="宋体"/>
                <w:color w:val="000000" w:themeColor="text1"/>
                <w:szCs w:val="21"/>
                <w14:textFill>
                  <w14:solidFill>
                    <w14:schemeClr w14:val="tx1"/>
                  </w14:solidFill>
                </w14:textFill>
              </w:rPr>
            </w:pPr>
          </w:p>
        </w:tc>
        <w:tc>
          <w:tcPr>
            <w:tcW w:w="4394"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spacing w:after="0" w:line="300" w:lineRule="exact"/>
              <w:ind w:left="0"/>
              <w:jc w:val="left"/>
              <w:textAlignment w:val="auto"/>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.规上高新技术产业增加值占规上工业增加值比重（%）</w:t>
            </w:r>
          </w:p>
        </w:tc>
        <w:tc>
          <w:tcPr>
            <w:tcW w:w="122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jc w:val="center"/>
              <w:textAlignment w:val="auto"/>
              <w:rPr>
                <w:rFonts w:ascii="宋体" w:eastAsia="宋体" w:cs="宋体"/>
                <w:color w:val="000000" w:themeColor="text1"/>
                <w:szCs w:val="21"/>
                <w14:textFill>
                  <w14:solidFill>
                    <w14:schemeClr w14:val="tx1"/>
                  </w14:solidFill>
                </w14:textFill>
              </w:rPr>
            </w:pPr>
            <w:r>
              <w:rPr>
                <w:rFonts w:hint="eastAsia" w:ascii="宋体" w:eastAsia="宋体" w:cs="宋体"/>
                <w:color w:val="000000" w:themeColor="text1"/>
                <w:szCs w:val="21"/>
                <w14:textFill>
                  <w14:solidFill>
                    <w14:schemeClr w14:val="tx1"/>
                  </w14:solidFill>
                </w14:textFill>
              </w:rPr>
              <w:t>-</w:t>
            </w:r>
            <w:r>
              <w:rPr>
                <w:rFonts w:ascii="宋体" w:eastAsia="宋体" w:cs="宋体"/>
                <w:color w:val="000000" w:themeColor="text1"/>
                <w:szCs w:val="21"/>
                <w14:textFill>
                  <w14:solidFill>
                    <w14:schemeClr w14:val="tx1"/>
                  </w14:solidFill>
                </w14:textFill>
              </w:rPr>
              <w:t>-</w:t>
            </w:r>
          </w:p>
        </w:tc>
        <w:tc>
          <w:tcPr>
            <w:tcW w:w="1229"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jc w:val="center"/>
              <w:textAlignment w:val="auto"/>
              <w:rPr>
                <w:rFonts w:ascii="宋体" w:eastAsia="宋体" w:cs="宋体"/>
                <w:color w:val="000000" w:themeColor="text1"/>
                <w:szCs w:val="21"/>
                <w14:textFill>
                  <w14:solidFill>
                    <w14:schemeClr w14:val="tx1"/>
                  </w14:solidFill>
                </w14:textFill>
              </w:rPr>
            </w:pPr>
            <w:r>
              <w:rPr>
                <w:rFonts w:hint="eastAsia" w:ascii="宋体" w:eastAsia="宋体" w:cs="宋体"/>
                <w:color w:val="000000" w:themeColor="text1"/>
                <w:szCs w:val="21"/>
                <w14:textFill>
                  <w14:solidFill>
                    <w14:schemeClr w14:val="tx1"/>
                  </w14:solidFill>
                </w14:textFill>
              </w:rPr>
              <w:t>3</w:t>
            </w:r>
            <w:r>
              <w:rPr>
                <w:rFonts w:ascii="宋体" w:eastAsia="宋体" w:cs="宋体"/>
                <w:color w:val="000000" w:themeColor="text1"/>
                <w:szCs w:val="21"/>
                <w14:textFill>
                  <w14:solidFill>
                    <w14:schemeClr w14:val="tx1"/>
                  </w14:solidFill>
                </w14:textFill>
              </w:rPr>
              <w:t>0</w:t>
            </w:r>
            <w:r>
              <w:rPr>
                <w:rFonts w:hint="eastAsia" w:ascii="宋体" w:eastAsia="宋体" w:cs="宋体"/>
                <w:color w:val="000000" w:themeColor="text1"/>
                <w:szCs w:val="21"/>
                <w14:textFill>
                  <w14:solidFill>
                    <w14:schemeClr w14:val="tx1"/>
                  </w14:solidFill>
                </w14:textFill>
              </w:rPr>
              <w:t>以上</w:t>
            </w:r>
          </w:p>
        </w:tc>
        <w:tc>
          <w:tcPr>
            <w:tcW w:w="1229"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jc w:val="center"/>
              <w:textAlignment w:val="auto"/>
              <w:rPr>
                <w:rFonts w:ascii="宋体" w:eastAsia="宋体" w:cs="宋体"/>
                <w:color w:val="000000" w:themeColor="text1"/>
                <w:szCs w:val="21"/>
                <w14:textFill>
                  <w14:solidFill>
                    <w14:schemeClr w14:val="tx1"/>
                  </w14:solidFill>
                </w14:textFill>
              </w:rPr>
            </w:pPr>
            <w:r>
              <w:rPr>
                <w:rFonts w:hint="eastAsia" w:ascii="宋体" w:eastAsia="宋体" w:cs="宋体"/>
                <w:color w:val="000000" w:themeColor="text1"/>
                <w:szCs w:val="21"/>
                <w14:textFill>
                  <w14:solidFill>
                    <w14:schemeClr w14:val="tx1"/>
                  </w14:solidFill>
                </w14:textFill>
              </w:rPr>
              <w:t>--</w:t>
            </w:r>
          </w:p>
        </w:tc>
      </w:tr>
      <w:tr>
        <w:tblPrEx>
          <w:tblLayout w:type="fixed"/>
          <w:tblCellMar>
            <w:top w:w="0" w:type="dxa"/>
            <w:left w:w="108" w:type="dxa"/>
            <w:bottom w:w="0" w:type="dxa"/>
            <w:right w:w="108" w:type="dxa"/>
          </w:tblCellMar>
        </w:tblPrEx>
        <w:trPr>
          <w:trHeight w:val="228" w:hRule="atLeast"/>
          <w:jc w:val="center"/>
        </w:trPr>
        <w:tc>
          <w:tcPr>
            <w:tcW w:w="817" w:type="dxa"/>
            <w:vMerge w:val="restart"/>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jc w:val="center"/>
              <w:textAlignment w:val="auto"/>
              <w:rPr>
                <w:rFonts w:ascii="宋体" w:eastAsia="宋体" w:cs="宋体"/>
                <w:color w:val="000000" w:themeColor="text1"/>
                <w:szCs w:val="21"/>
                <w14:textFill>
                  <w14:solidFill>
                    <w14:schemeClr w14:val="tx1"/>
                  </w14:solidFill>
                </w14:textFill>
              </w:rPr>
            </w:pPr>
            <w:r>
              <w:rPr>
                <w:rFonts w:hint="eastAsia" w:ascii="宋体" w:eastAsia="宋体" w:cs="宋体"/>
                <w:color w:val="000000" w:themeColor="text1"/>
                <w:szCs w:val="21"/>
                <w14:textFill>
                  <w14:solidFill>
                    <w14:schemeClr w14:val="tx1"/>
                  </w14:solidFill>
                </w14:textFill>
              </w:rPr>
              <w:t>民生</w:t>
            </w:r>
          </w:p>
          <w:p>
            <w:pPr>
              <w:pStyle w:val="10"/>
              <w:keepNext w:val="0"/>
              <w:keepLines w:val="0"/>
              <w:pageBreakBefore w:val="0"/>
              <w:widowControl w:val="0"/>
              <w:kinsoku/>
              <w:wordWrap/>
              <w:overflowPunct/>
              <w:topLinePunct w:val="0"/>
              <w:autoSpaceDE/>
              <w:autoSpaceDN/>
              <w:bidi w:val="0"/>
              <w:spacing w:line="300" w:lineRule="exact"/>
              <w:jc w:val="center"/>
              <w:textAlignment w:val="auto"/>
              <w:rPr>
                <w:rFonts w:ascii="宋体" w:eastAsia="宋体" w:cs="宋体"/>
                <w:color w:val="000000" w:themeColor="text1"/>
                <w:szCs w:val="21"/>
                <w14:textFill>
                  <w14:solidFill>
                    <w14:schemeClr w14:val="tx1"/>
                  </w14:solidFill>
                </w14:textFill>
              </w:rPr>
            </w:pPr>
            <w:r>
              <w:rPr>
                <w:rFonts w:hint="eastAsia" w:ascii="宋体" w:eastAsia="宋体" w:cs="宋体"/>
                <w:color w:val="000000" w:themeColor="text1"/>
                <w:szCs w:val="21"/>
                <w14:textFill>
                  <w14:solidFill>
                    <w14:schemeClr w14:val="tx1"/>
                  </w14:solidFill>
                </w14:textFill>
              </w:rPr>
              <w:t>福祉</w:t>
            </w:r>
          </w:p>
        </w:tc>
        <w:tc>
          <w:tcPr>
            <w:tcW w:w="4394"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spacing w:after="0" w:line="300" w:lineRule="exact"/>
              <w:ind w:left="0"/>
              <w:jc w:val="left"/>
              <w:textAlignment w:val="auto"/>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.城镇居民人均可支配收入增长率（%）</w:t>
            </w:r>
          </w:p>
        </w:tc>
        <w:tc>
          <w:tcPr>
            <w:tcW w:w="122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jc w:val="center"/>
              <w:textAlignment w:val="auto"/>
              <w:rPr>
                <w:rFonts w:ascii="宋体" w:eastAsia="宋体" w:cs="宋体"/>
                <w:color w:val="000000" w:themeColor="text1"/>
                <w:szCs w:val="21"/>
                <w14:textFill>
                  <w14:solidFill>
                    <w14:schemeClr w14:val="tx1"/>
                  </w14:solidFill>
                </w14:textFill>
              </w:rPr>
            </w:pPr>
            <w:r>
              <w:rPr>
                <w:rFonts w:hint="eastAsia" w:ascii="宋体" w:eastAsia="宋体" w:cs="宋体"/>
                <w:color w:val="000000" w:themeColor="text1"/>
                <w:szCs w:val="21"/>
                <w14:textFill>
                  <w14:solidFill>
                    <w14:schemeClr w14:val="tx1"/>
                  </w14:solidFill>
                </w14:textFill>
              </w:rPr>
              <w:t>4</w:t>
            </w:r>
            <w:r>
              <w:rPr>
                <w:rFonts w:ascii="宋体" w:eastAsia="宋体" w:cs="宋体"/>
                <w:color w:val="000000" w:themeColor="text1"/>
                <w:szCs w:val="21"/>
                <w14:textFill>
                  <w14:solidFill>
                    <w14:schemeClr w14:val="tx1"/>
                  </w14:solidFill>
                </w14:textFill>
              </w:rPr>
              <w:t>.30</w:t>
            </w:r>
          </w:p>
        </w:tc>
        <w:tc>
          <w:tcPr>
            <w:tcW w:w="1229"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jc w:val="center"/>
              <w:textAlignment w:val="auto"/>
              <w:rPr>
                <w:rFonts w:ascii="宋体" w:eastAsia="宋体" w:cs="宋体"/>
                <w:color w:val="000000" w:themeColor="text1"/>
                <w:szCs w:val="21"/>
                <w14:textFill>
                  <w14:solidFill>
                    <w14:schemeClr w14:val="tx1"/>
                  </w14:solidFill>
                </w14:textFill>
              </w:rPr>
            </w:pPr>
            <w:r>
              <w:rPr>
                <w:rFonts w:ascii="宋体" w:eastAsia="宋体" w:cs="宋体"/>
                <w:color w:val="000000" w:themeColor="text1"/>
                <w:szCs w:val="21"/>
                <w14:textFill>
                  <w14:solidFill>
                    <w14:schemeClr w14:val="tx1"/>
                  </w14:solidFill>
                </w14:textFill>
              </w:rPr>
              <w:t>6.50</w:t>
            </w:r>
          </w:p>
        </w:tc>
        <w:tc>
          <w:tcPr>
            <w:tcW w:w="1229"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jc w:val="center"/>
              <w:textAlignment w:val="auto"/>
              <w:rPr>
                <w:rFonts w:ascii="宋体" w:eastAsia="宋体" w:cs="宋体"/>
                <w:color w:val="000000" w:themeColor="text1"/>
                <w:szCs w:val="21"/>
                <w14:textFill>
                  <w14:solidFill>
                    <w14:schemeClr w14:val="tx1"/>
                  </w14:solidFill>
                </w14:textFill>
              </w:rPr>
            </w:pPr>
            <w:r>
              <w:rPr>
                <w:rFonts w:ascii="宋体" w:eastAsia="宋体" w:cs="宋体"/>
                <w:color w:val="000000" w:themeColor="text1"/>
                <w:szCs w:val="21"/>
                <w14:textFill>
                  <w14:solidFill>
                    <w14:schemeClr w14:val="tx1"/>
                  </w14:solidFill>
                </w14:textFill>
              </w:rPr>
              <w:t>6.50</w:t>
            </w:r>
          </w:p>
        </w:tc>
      </w:tr>
      <w:tr>
        <w:tblPrEx>
          <w:tblLayout w:type="fixed"/>
          <w:tblCellMar>
            <w:top w:w="0" w:type="dxa"/>
            <w:left w:w="108" w:type="dxa"/>
            <w:bottom w:w="0" w:type="dxa"/>
            <w:right w:w="108" w:type="dxa"/>
          </w:tblCellMar>
        </w:tblPrEx>
        <w:trPr>
          <w:trHeight w:val="228" w:hRule="atLeast"/>
          <w:jc w:val="center"/>
        </w:trPr>
        <w:tc>
          <w:tcPr>
            <w:tcW w:w="817" w:type="dxa"/>
            <w:vMerge w:val="continue"/>
            <w:tcBorders>
              <w:left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jc w:val="center"/>
              <w:textAlignment w:val="auto"/>
              <w:rPr>
                <w:rFonts w:ascii="宋体" w:eastAsia="宋体" w:cs="宋体"/>
                <w:color w:val="000000" w:themeColor="text1"/>
                <w:szCs w:val="21"/>
                <w14:textFill>
                  <w14:solidFill>
                    <w14:schemeClr w14:val="tx1"/>
                  </w14:solidFill>
                </w14:textFill>
              </w:rPr>
            </w:pPr>
          </w:p>
        </w:tc>
        <w:tc>
          <w:tcPr>
            <w:tcW w:w="4394"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spacing w:after="0" w:line="300" w:lineRule="exact"/>
              <w:ind w:left="0"/>
              <w:jc w:val="left"/>
              <w:textAlignment w:val="auto"/>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.农村居民人均可支配收入增长率（%）</w:t>
            </w:r>
          </w:p>
        </w:tc>
        <w:tc>
          <w:tcPr>
            <w:tcW w:w="122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jc w:val="center"/>
              <w:textAlignment w:val="auto"/>
              <w:rPr>
                <w:rFonts w:ascii="宋体" w:eastAsia="宋体" w:cs="宋体"/>
                <w:color w:val="000000" w:themeColor="text1"/>
                <w:szCs w:val="21"/>
                <w14:textFill>
                  <w14:solidFill>
                    <w14:schemeClr w14:val="tx1"/>
                  </w14:solidFill>
                </w14:textFill>
              </w:rPr>
            </w:pPr>
            <w:r>
              <w:rPr>
                <w:rFonts w:hint="eastAsia" w:ascii="宋体" w:eastAsia="宋体" w:cs="宋体"/>
                <w:color w:val="000000" w:themeColor="text1"/>
                <w:szCs w:val="21"/>
                <w14:textFill>
                  <w14:solidFill>
                    <w14:schemeClr w14:val="tx1"/>
                  </w14:solidFill>
                </w14:textFill>
              </w:rPr>
              <w:t>8</w:t>
            </w:r>
          </w:p>
        </w:tc>
        <w:tc>
          <w:tcPr>
            <w:tcW w:w="1229"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ind w:firstLine="420"/>
              <w:textAlignment w:val="auto"/>
              <w:rPr>
                <w:rFonts w:ascii="宋体" w:eastAsia="宋体" w:cs="宋体"/>
                <w:color w:val="000000" w:themeColor="text1"/>
                <w:szCs w:val="21"/>
                <w14:textFill>
                  <w14:solidFill>
                    <w14:schemeClr w14:val="tx1"/>
                  </w14:solidFill>
                </w14:textFill>
              </w:rPr>
            </w:pPr>
            <w:r>
              <w:rPr>
                <w:rFonts w:hint="eastAsia" w:ascii="宋体" w:eastAsia="宋体" w:cs="宋体"/>
                <w:color w:val="000000" w:themeColor="text1"/>
                <w:szCs w:val="21"/>
                <w14:textFill>
                  <w14:solidFill>
                    <w14:schemeClr w14:val="tx1"/>
                  </w14:solidFill>
                </w14:textFill>
              </w:rPr>
              <w:t>7</w:t>
            </w:r>
          </w:p>
        </w:tc>
        <w:tc>
          <w:tcPr>
            <w:tcW w:w="1229"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jc w:val="center"/>
              <w:textAlignment w:val="auto"/>
              <w:rPr>
                <w:rFonts w:ascii="宋体" w:eastAsia="宋体" w:cs="宋体"/>
                <w:color w:val="000000" w:themeColor="text1"/>
                <w:szCs w:val="21"/>
                <w14:textFill>
                  <w14:solidFill>
                    <w14:schemeClr w14:val="tx1"/>
                  </w14:solidFill>
                </w14:textFill>
              </w:rPr>
            </w:pPr>
            <w:r>
              <w:rPr>
                <w:rFonts w:ascii="宋体" w:eastAsia="宋体" w:cs="宋体"/>
                <w:color w:val="000000" w:themeColor="text1"/>
                <w:szCs w:val="21"/>
                <w14:textFill>
                  <w14:solidFill>
                    <w14:schemeClr w14:val="tx1"/>
                  </w14:solidFill>
                </w14:textFill>
              </w:rPr>
              <w:t>7</w:t>
            </w:r>
          </w:p>
        </w:tc>
      </w:tr>
      <w:tr>
        <w:tblPrEx>
          <w:tblLayout w:type="fixed"/>
          <w:tblCellMar>
            <w:top w:w="0" w:type="dxa"/>
            <w:left w:w="108" w:type="dxa"/>
            <w:bottom w:w="0" w:type="dxa"/>
            <w:right w:w="108" w:type="dxa"/>
          </w:tblCellMar>
        </w:tblPrEx>
        <w:trPr>
          <w:trHeight w:val="241"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ind w:firstLine="420"/>
              <w:jc w:val="center"/>
              <w:textAlignment w:val="auto"/>
              <w:rPr>
                <w:rFonts w:ascii="宋体" w:eastAsia="宋体" w:cs="宋体"/>
                <w:color w:val="000000" w:themeColor="text1"/>
                <w:szCs w:val="21"/>
                <w14:textFill>
                  <w14:solidFill>
                    <w14:schemeClr w14:val="tx1"/>
                  </w14:solidFill>
                </w14:textFill>
              </w:rPr>
            </w:pPr>
          </w:p>
        </w:tc>
        <w:tc>
          <w:tcPr>
            <w:tcW w:w="4394"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spacing w:after="0" w:line="300" w:lineRule="exact"/>
              <w:ind w:left="0"/>
              <w:jc w:val="left"/>
              <w:textAlignment w:val="auto"/>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.城镇调查失业率（%）</w:t>
            </w:r>
          </w:p>
        </w:tc>
        <w:tc>
          <w:tcPr>
            <w:tcW w:w="122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jc w:val="center"/>
              <w:textAlignment w:val="auto"/>
              <w:rPr>
                <w:rFonts w:ascii="宋体" w:eastAsia="宋体" w:cs="宋体"/>
                <w:color w:val="000000" w:themeColor="text1"/>
                <w:szCs w:val="21"/>
                <w14:textFill>
                  <w14:solidFill>
                    <w14:schemeClr w14:val="tx1"/>
                  </w14:solidFill>
                </w14:textFill>
              </w:rPr>
            </w:pPr>
            <w:r>
              <w:rPr>
                <w:rFonts w:hint="eastAsia" w:ascii="宋体" w:eastAsia="宋体" w:cs="宋体"/>
                <w:color w:val="000000" w:themeColor="text1"/>
                <w:szCs w:val="21"/>
                <w14:textFill>
                  <w14:solidFill>
                    <w14:schemeClr w14:val="tx1"/>
                  </w14:solidFill>
                </w14:textFill>
              </w:rPr>
              <w:t>-</w:t>
            </w:r>
            <w:r>
              <w:rPr>
                <w:rFonts w:ascii="宋体" w:eastAsia="宋体" w:cs="宋体"/>
                <w:color w:val="000000" w:themeColor="text1"/>
                <w:szCs w:val="21"/>
                <w14:textFill>
                  <w14:solidFill>
                    <w14:schemeClr w14:val="tx1"/>
                  </w14:solidFill>
                </w14:textFill>
              </w:rPr>
              <w:t>-</w:t>
            </w:r>
          </w:p>
        </w:tc>
        <w:tc>
          <w:tcPr>
            <w:tcW w:w="1229"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jc w:val="center"/>
              <w:textAlignment w:val="auto"/>
              <w:rPr>
                <w:rFonts w:ascii="宋体" w:eastAsia="宋体" w:cs="宋体"/>
                <w:color w:val="000000" w:themeColor="text1"/>
                <w:szCs w:val="21"/>
                <w14:textFill>
                  <w14:solidFill>
                    <w14:schemeClr w14:val="tx1"/>
                  </w14:solidFill>
                </w14:textFill>
              </w:rPr>
            </w:pPr>
            <w:r>
              <w:rPr>
                <w:rFonts w:hint="eastAsia" w:ascii="宋体" w:eastAsia="宋体" w:cs="宋体"/>
                <w:color w:val="000000" w:themeColor="text1"/>
                <w:szCs w:val="21"/>
                <w14:textFill>
                  <w14:solidFill>
                    <w14:schemeClr w14:val="tx1"/>
                  </w14:solidFill>
                </w14:textFill>
              </w:rPr>
              <w:t>4</w:t>
            </w:r>
            <w:r>
              <w:rPr>
                <w:rFonts w:ascii="宋体" w:eastAsia="宋体" w:cs="宋体"/>
                <w:color w:val="000000" w:themeColor="text1"/>
                <w:szCs w:val="21"/>
                <w14:textFill>
                  <w14:solidFill>
                    <w14:schemeClr w14:val="tx1"/>
                  </w14:solidFill>
                </w14:textFill>
              </w:rPr>
              <w:t>.50</w:t>
            </w:r>
          </w:p>
        </w:tc>
        <w:tc>
          <w:tcPr>
            <w:tcW w:w="1229"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jc w:val="center"/>
              <w:textAlignment w:val="auto"/>
              <w:rPr>
                <w:rFonts w:ascii="宋体" w:eastAsia="宋体" w:cs="宋体"/>
                <w:color w:val="000000" w:themeColor="text1"/>
                <w:szCs w:val="21"/>
                <w14:textFill>
                  <w14:solidFill>
                    <w14:schemeClr w14:val="tx1"/>
                  </w14:solidFill>
                </w14:textFill>
              </w:rPr>
            </w:pPr>
            <w:r>
              <w:rPr>
                <w:rFonts w:hint="eastAsia" w:ascii="宋体" w:eastAsia="宋体" w:cs="宋体"/>
                <w:color w:val="000000" w:themeColor="text1"/>
                <w:szCs w:val="21"/>
                <w14:textFill>
                  <w14:solidFill>
                    <w14:schemeClr w14:val="tx1"/>
                  </w14:solidFill>
                </w14:textFill>
              </w:rPr>
              <w:t>-</w:t>
            </w:r>
            <w:r>
              <w:rPr>
                <w:rFonts w:ascii="宋体" w:eastAsia="宋体" w:cs="宋体"/>
                <w:color w:val="000000" w:themeColor="text1"/>
                <w:szCs w:val="21"/>
                <w14:textFill>
                  <w14:solidFill>
                    <w14:schemeClr w14:val="tx1"/>
                  </w14:solidFill>
                </w14:textFill>
              </w:rPr>
              <w:t>-</w:t>
            </w:r>
          </w:p>
        </w:tc>
      </w:tr>
      <w:tr>
        <w:tblPrEx>
          <w:tblLayout w:type="fixed"/>
          <w:tblCellMar>
            <w:top w:w="0" w:type="dxa"/>
            <w:left w:w="108" w:type="dxa"/>
            <w:bottom w:w="0" w:type="dxa"/>
            <w:right w:w="108" w:type="dxa"/>
          </w:tblCellMar>
        </w:tblPrEx>
        <w:trPr>
          <w:trHeight w:val="241"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ind w:firstLine="420"/>
              <w:jc w:val="center"/>
              <w:textAlignment w:val="auto"/>
              <w:rPr>
                <w:rFonts w:ascii="宋体" w:eastAsia="宋体" w:cs="宋体"/>
                <w:color w:val="000000" w:themeColor="text1"/>
                <w:szCs w:val="21"/>
                <w14:textFill>
                  <w14:solidFill>
                    <w14:schemeClr w14:val="tx1"/>
                  </w14:solidFill>
                </w14:textFill>
              </w:rPr>
            </w:pPr>
          </w:p>
        </w:tc>
        <w:tc>
          <w:tcPr>
            <w:tcW w:w="4394"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spacing w:after="0" w:line="300" w:lineRule="exact"/>
              <w:ind w:left="0"/>
              <w:jc w:val="left"/>
              <w:textAlignment w:val="auto"/>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.人均预期寿命（岁）</w:t>
            </w:r>
          </w:p>
        </w:tc>
        <w:tc>
          <w:tcPr>
            <w:tcW w:w="122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jc w:val="center"/>
              <w:textAlignment w:val="auto"/>
              <w:rPr>
                <w:rFonts w:ascii="宋体" w:eastAsia="宋体" w:cs="宋体"/>
                <w:color w:val="000000" w:themeColor="text1"/>
                <w:szCs w:val="21"/>
                <w14:textFill>
                  <w14:solidFill>
                    <w14:schemeClr w14:val="tx1"/>
                  </w14:solidFill>
                </w14:textFill>
              </w:rPr>
            </w:pPr>
            <w:r>
              <w:rPr>
                <w:rFonts w:hint="eastAsia" w:ascii="宋体" w:eastAsia="宋体" w:cs="宋体"/>
                <w:color w:val="000000" w:themeColor="text1"/>
                <w:szCs w:val="21"/>
                <w14:textFill>
                  <w14:solidFill>
                    <w14:schemeClr w14:val="tx1"/>
                  </w14:solidFill>
                </w14:textFill>
              </w:rPr>
              <w:t>7</w:t>
            </w:r>
            <w:r>
              <w:rPr>
                <w:rFonts w:ascii="宋体" w:eastAsia="宋体" w:cs="宋体"/>
                <w:color w:val="000000" w:themeColor="text1"/>
                <w:szCs w:val="21"/>
                <w14:textFill>
                  <w14:solidFill>
                    <w14:schemeClr w14:val="tx1"/>
                  </w14:solidFill>
                </w14:textFill>
              </w:rPr>
              <w:t>7</w:t>
            </w:r>
          </w:p>
        </w:tc>
        <w:tc>
          <w:tcPr>
            <w:tcW w:w="1229"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jc w:val="center"/>
              <w:textAlignment w:val="auto"/>
              <w:rPr>
                <w:rFonts w:ascii="宋体" w:eastAsia="宋体" w:cs="宋体"/>
                <w:color w:val="000000" w:themeColor="text1"/>
                <w:szCs w:val="21"/>
                <w14:textFill>
                  <w14:solidFill>
                    <w14:schemeClr w14:val="tx1"/>
                  </w14:solidFill>
                </w14:textFill>
              </w:rPr>
            </w:pPr>
            <w:r>
              <w:rPr>
                <w:rFonts w:hint="eastAsia" w:ascii="宋体" w:eastAsia="宋体" w:cs="宋体"/>
                <w:color w:val="000000" w:themeColor="text1"/>
                <w:szCs w:val="21"/>
                <w14:textFill>
                  <w14:solidFill>
                    <w14:schemeClr w14:val="tx1"/>
                  </w14:solidFill>
                </w14:textFill>
              </w:rPr>
              <w:t>7</w:t>
            </w:r>
            <w:r>
              <w:rPr>
                <w:rFonts w:ascii="宋体" w:eastAsia="宋体" w:cs="宋体"/>
                <w:color w:val="000000" w:themeColor="text1"/>
                <w:szCs w:val="21"/>
                <w14:textFill>
                  <w14:solidFill>
                    <w14:schemeClr w14:val="tx1"/>
                  </w14:solidFill>
                </w14:textFill>
              </w:rPr>
              <w:t>8.50</w:t>
            </w:r>
          </w:p>
        </w:tc>
        <w:tc>
          <w:tcPr>
            <w:tcW w:w="1229"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jc w:val="center"/>
              <w:textAlignment w:val="auto"/>
              <w:rPr>
                <w:rFonts w:ascii="宋体" w:eastAsia="宋体" w:cs="宋体"/>
                <w:color w:val="000000" w:themeColor="text1"/>
                <w:szCs w:val="21"/>
                <w14:textFill>
                  <w14:solidFill>
                    <w14:schemeClr w14:val="tx1"/>
                  </w14:solidFill>
                </w14:textFill>
              </w:rPr>
            </w:pPr>
            <w:r>
              <w:rPr>
                <w:rFonts w:ascii="宋体" w:eastAsia="宋体" w:cs="宋体"/>
                <w:color w:val="000000" w:themeColor="text1"/>
                <w:szCs w:val="21"/>
                <w14:textFill>
                  <w14:solidFill>
                    <w14:schemeClr w14:val="tx1"/>
                  </w14:solidFill>
                </w14:textFill>
              </w:rPr>
              <w:t>[</w:t>
            </w:r>
            <w:r>
              <w:rPr>
                <w:rFonts w:hint="eastAsia" w:ascii="宋体" w:eastAsia="宋体" w:cs="宋体"/>
                <w:color w:val="000000" w:themeColor="text1"/>
                <w:szCs w:val="21"/>
                <w14:textFill>
                  <w14:solidFill>
                    <w14:schemeClr w14:val="tx1"/>
                  </w14:solidFill>
                </w14:textFill>
              </w:rPr>
              <w:t>1</w:t>
            </w:r>
            <w:r>
              <w:rPr>
                <w:rFonts w:ascii="宋体" w:eastAsia="宋体" w:cs="宋体"/>
                <w:color w:val="000000" w:themeColor="text1"/>
                <w:szCs w:val="21"/>
                <w14:textFill>
                  <w14:solidFill>
                    <w14:schemeClr w14:val="tx1"/>
                  </w14:solidFill>
                </w14:textFill>
              </w:rPr>
              <w:t>.50]</w:t>
            </w:r>
          </w:p>
        </w:tc>
      </w:tr>
      <w:tr>
        <w:tblPrEx>
          <w:tblLayout w:type="fixed"/>
          <w:tblCellMar>
            <w:top w:w="0" w:type="dxa"/>
            <w:left w:w="108" w:type="dxa"/>
            <w:bottom w:w="0" w:type="dxa"/>
            <w:right w:w="108" w:type="dxa"/>
          </w:tblCellMar>
        </w:tblPrEx>
        <w:trPr>
          <w:trHeight w:val="241"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ind w:firstLine="420"/>
              <w:jc w:val="center"/>
              <w:textAlignment w:val="auto"/>
              <w:rPr>
                <w:rFonts w:ascii="宋体" w:eastAsia="宋体" w:cs="宋体"/>
                <w:color w:val="000000" w:themeColor="text1"/>
                <w:szCs w:val="21"/>
                <w14:textFill>
                  <w14:solidFill>
                    <w14:schemeClr w14:val="tx1"/>
                  </w14:solidFill>
                </w14:textFill>
              </w:rPr>
            </w:pPr>
          </w:p>
        </w:tc>
        <w:tc>
          <w:tcPr>
            <w:tcW w:w="4394"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spacing w:after="0" w:line="300" w:lineRule="exact"/>
              <w:ind w:left="0"/>
              <w:jc w:val="left"/>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.每千人拥有执业（助理）医师数（人）</w:t>
            </w:r>
          </w:p>
        </w:tc>
        <w:tc>
          <w:tcPr>
            <w:tcW w:w="122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jc w:val="center"/>
              <w:textAlignment w:val="auto"/>
              <w:rPr>
                <w:rFonts w:ascii="宋体" w:eastAsia="宋体" w:cs="宋体"/>
                <w:color w:val="000000" w:themeColor="text1"/>
                <w:szCs w:val="21"/>
                <w14:textFill>
                  <w14:solidFill>
                    <w14:schemeClr w14:val="tx1"/>
                  </w14:solidFill>
                </w14:textFill>
              </w:rPr>
            </w:pPr>
            <w:r>
              <w:rPr>
                <w:rFonts w:hint="eastAsia" w:ascii="宋体" w:eastAsia="宋体" w:cs="宋体"/>
                <w:color w:val="000000" w:themeColor="text1"/>
                <w:szCs w:val="21"/>
                <w14:textFill>
                  <w14:solidFill>
                    <w14:schemeClr w14:val="tx1"/>
                  </w14:solidFill>
                </w14:textFill>
              </w:rPr>
              <w:t>2</w:t>
            </w:r>
            <w:r>
              <w:rPr>
                <w:rFonts w:ascii="宋体" w:eastAsia="宋体" w:cs="宋体"/>
                <w:color w:val="000000" w:themeColor="text1"/>
                <w:szCs w:val="21"/>
                <w14:textFill>
                  <w14:solidFill>
                    <w14:schemeClr w14:val="tx1"/>
                  </w14:solidFill>
                </w14:textFill>
              </w:rPr>
              <w:t>.81</w:t>
            </w:r>
          </w:p>
        </w:tc>
        <w:tc>
          <w:tcPr>
            <w:tcW w:w="1229"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jc w:val="center"/>
              <w:textAlignment w:val="auto"/>
              <w:rPr>
                <w:rFonts w:ascii="宋体" w:eastAsia="宋体" w:cs="宋体"/>
                <w:color w:val="000000" w:themeColor="text1"/>
                <w:szCs w:val="21"/>
                <w14:textFill>
                  <w14:solidFill>
                    <w14:schemeClr w14:val="tx1"/>
                  </w14:solidFill>
                </w14:textFill>
              </w:rPr>
            </w:pPr>
            <w:r>
              <w:rPr>
                <w:rFonts w:hint="eastAsia" w:ascii="宋体" w:eastAsia="宋体" w:cs="宋体"/>
                <w:color w:val="000000" w:themeColor="text1"/>
                <w:szCs w:val="21"/>
                <w14:textFill>
                  <w14:solidFill>
                    <w14:schemeClr w14:val="tx1"/>
                  </w14:solidFill>
                </w14:textFill>
              </w:rPr>
              <w:t>3以上</w:t>
            </w:r>
          </w:p>
        </w:tc>
        <w:tc>
          <w:tcPr>
            <w:tcW w:w="1229"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jc w:val="center"/>
              <w:textAlignment w:val="auto"/>
              <w:rPr>
                <w:rFonts w:ascii="宋体" w:eastAsia="宋体" w:cs="宋体"/>
                <w:color w:val="000000" w:themeColor="text1"/>
                <w:szCs w:val="21"/>
                <w14:textFill>
                  <w14:solidFill>
                    <w14:schemeClr w14:val="tx1"/>
                  </w14:solidFill>
                </w14:textFill>
              </w:rPr>
            </w:pPr>
            <w:r>
              <w:rPr>
                <w:rFonts w:hint="eastAsia" w:ascii="宋体" w:eastAsia="宋体" w:cs="宋体"/>
                <w:color w:val="000000" w:themeColor="text1"/>
                <w:szCs w:val="21"/>
                <w14:textFill>
                  <w14:solidFill>
                    <w14:schemeClr w14:val="tx1"/>
                  </w14:solidFill>
                </w14:textFill>
              </w:rPr>
              <w:t>[</w:t>
            </w:r>
            <w:r>
              <w:rPr>
                <w:rFonts w:ascii="宋体" w:eastAsia="宋体" w:cs="宋体"/>
                <w:color w:val="000000" w:themeColor="text1"/>
                <w:szCs w:val="21"/>
                <w14:textFill>
                  <w14:solidFill>
                    <w14:schemeClr w14:val="tx1"/>
                  </w14:solidFill>
                </w14:textFill>
              </w:rPr>
              <w:t>0.19]</w:t>
            </w:r>
          </w:p>
        </w:tc>
      </w:tr>
      <w:tr>
        <w:tblPrEx>
          <w:tblLayout w:type="fixed"/>
          <w:tblCellMar>
            <w:top w:w="0" w:type="dxa"/>
            <w:left w:w="108" w:type="dxa"/>
            <w:bottom w:w="0" w:type="dxa"/>
            <w:right w:w="108" w:type="dxa"/>
          </w:tblCellMar>
        </w:tblPrEx>
        <w:trPr>
          <w:trHeight w:val="235"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ind w:firstLine="420"/>
              <w:jc w:val="center"/>
              <w:textAlignment w:val="auto"/>
              <w:rPr>
                <w:rFonts w:ascii="宋体" w:eastAsia="宋体" w:cs="宋体"/>
                <w:color w:val="000000" w:themeColor="text1"/>
                <w:szCs w:val="21"/>
                <w14:textFill>
                  <w14:solidFill>
                    <w14:schemeClr w14:val="tx1"/>
                  </w14:solidFill>
                </w14:textFill>
              </w:rPr>
            </w:pPr>
          </w:p>
        </w:tc>
        <w:tc>
          <w:tcPr>
            <w:tcW w:w="4394"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spacing w:after="0" w:line="300" w:lineRule="exact"/>
              <w:ind w:left="0"/>
              <w:jc w:val="left"/>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.居民基本养老保险覆盖率（%）</w:t>
            </w:r>
          </w:p>
        </w:tc>
        <w:tc>
          <w:tcPr>
            <w:tcW w:w="122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jc w:val="center"/>
              <w:textAlignment w:val="auto"/>
              <w:rPr>
                <w:rFonts w:ascii="宋体" w:eastAsia="宋体" w:cs="宋体"/>
                <w:color w:val="000000" w:themeColor="text1"/>
                <w:szCs w:val="21"/>
                <w14:textFill>
                  <w14:solidFill>
                    <w14:schemeClr w14:val="tx1"/>
                  </w14:solidFill>
                </w14:textFill>
              </w:rPr>
            </w:pPr>
            <w:r>
              <w:rPr>
                <w:rFonts w:hint="eastAsia" w:ascii="宋体" w:eastAsia="宋体" w:cs="宋体"/>
                <w:color w:val="000000" w:themeColor="text1"/>
                <w:szCs w:val="21"/>
                <w14:textFill>
                  <w14:solidFill>
                    <w14:schemeClr w14:val="tx1"/>
                  </w14:solidFill>
                </w14:textFill>
              </w:rPr>
              <w:t>9</w:t>
            </w:r>
            <w:r>
              <w:rPr>
                <w:rFonts w:ascii="宋体" w:eastAsia="宋体" w:cs="宋体"/>
                <w:color w:val="000000" w:themeColor="text1"/>
                <w:szCs w:val="21"/>
                <w14:textFill>
                  <w14:solidFill>
                    <w14:schemeClr w14:val="tx1"/>
                  </w14:solidFill>
                </w14:textFill>
              </w:rPr>
              <w:t>9.80</w:t>
            </w:r>
          </w:p>
        </w:tc>
        <w:tc>
          <w:tcPr>
            <w:tcW w:w="1229"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jc w:val="center"/>
              <w:textAlignment w:val="auto"/>
              <w:rPr>
                <w:rFonts w:ascii="宋体" w:eastAsia="宋体" w:cs="宋体"/>
                <w:color w:val="000000" w:themeColor="text1"/>
                <w:szCs w:val="21"/>
                <w14:textFill>
                  <w14:solidFill>
                    <w14:schemeClr w14:val="tx1"/>
                  </w14:solidFill>
                </w14:textFill>
              </w:rPr>
            </w:pPr>
            <w:r>
              <w:rPr>
                <w:rFonts w:hint="eastAsia" w:ascii="宋体" w:eastAsia="宋体" w:cs="宋体"/>
                <w:color w:val="000000" w:themeColor="text1"/>
                <w:szCs w:val="21"/>
                <w14:textFill>
                  <w14:solidFill>
                    <w14:schemeClr w14:val="tx1"/>
                  </w14:solidFill>
                </w14:textFill>
              </w:rPr>
              <w:t>9</w:t>
            </w:r>
            <w:r>
              <w:rPr>
                <w:rFonts w:ascii="宋体" w:eastAsia="宋体" w:cs="宋体"/>
                <w:color w:val="000000" w:themeColor="text1"/>
                <w:szCs w:val="21"/>
                <w14:textFill>
                  <w14:solidFill>
                    <w14:schemeClr w14:val="tx1"/>
                  </w14:solidFill>
                </w14:textFill>
              </w:rPr>
              <w:t>9</w:t>
            </w:r>
            <w:r>
              <w:rPr>
                <w:rFonts w:hint="eastAsia" w:ascii="宋体" w:eastAsia="宋体" w:cs="宋体"/>
                <w:color w:val="000000" w:themeColor="text1"/>
                <w:szCs w:val="21"/>
                <w14:textFill>
                  <w14:solidFill>
                    <w14:schemeClr w14:val="tx1"/>
                  </w14:solidFill>
                </w14:textFill>
              </w:rPr>
              <w:t>以上</w:t>
            </w:r>
          </w:p>
        </w:tc>
        <w:tc>
          <w:tcPr>
            <w:tcW w:w="1229"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jc w:val="center"/>
              <w:textAlignment w:val="auto"/>
              <w:rPr>
                <w:rFonts w:ascii="宋体" w:eastAsia="宋体" w:cs="宋体"/>
                <w:color w:val="000000" w:themeColor="text1"/>
                <w:szCs w:val="21"/>
                <w14:textFill>
                  <w14:solidFill>
                    <w14:schemeClr w14:val="tx1"/>
                  </w14:solidFill>
                </w14:textFill>
              </w:rPr>
            </w:pPr>
            <w:r>
              <w:rPr>
                <w:rFonts w:hint="eastAsia" w:ascii="宋体" w:eastAsia="宋体" w:cs="宋体"/>
                <w:color w:val="000000" w:themeColor="text1"/>
                <w:szCs w:val="21"/>
                <w14:textFill>
                  <w14:solidFill>
                    <w14:schemeClr w14:val="tx1"/>
                  </w14:solidFill>
                </w14:textFill>
              </w:rPr>
              <w:t>-</w:t>
            </w:r>
            <w:r>
              <w:rPr>
                <w:rFonts w:ascii="宋体" w:eastAsia="宋体" w:cs="宋体"/>
                <w:color w:val="000000" w:themeColor="text1"/>
                <w:szCs w:val="21"/>
                <w14:textFill>
                  <w14:solidFill>
                    <w14:schemeClr w14:val="tx1"/>
                  </w14:solidFill>
                </w14:textFill>
              </w:rPr>
              <w:t>-</w:t>
            </w:r>
          </w:p>
        </w:tc>
      </w:tr>
      <w:tr>
        <w:tblPrEx>
          <w:tblLayout w:type="fixed"/>
          <w:tblCellMar>
            <w:top w:w="0" w:type="dxa"/>
            <w:left w:w="108" w:type="dxa"/>
            <w:bottom w:w="0" w:type="dxa"/>
            <w:right w:w="108" w:type="dxa"/>
          </w:tblCellMar>
        </w:tblPrEx>
        <w:trPr>
          <w:trHeight w:val="234"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ind w:firstLine="420"/>
              <w:jc w:val="center"/>
              <w:textAlignment w:val="auto"/>
              <w:rPr>
                <w:rFonts w:ascii="宋体" w:eastAsia="宋体" w:cs="宋体"/>
                <w:color w:val="000000" w:themeColor="text1"/>
                <w:szCs w:val="21"/>
                <w14:textFill>
                  <w14:solidFill>
                    <w14:schemeClr w14:val="tx1"/>
                  </w14:solidFill>
                </w14:textFill>
              </w:rPr>
            </w:pPr>
          </w:p>
        </w:tc>
        <w:tc>
          <w:tcPr>
            <w:tcW w:w="4394"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spacing w:after="0" w:line="300" w:lineRule="exact"/>
              <w:ind w:left="0"/>
              <w:jc w:val="left"/>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.劳动年龄人口平均受教育年限（年）</w:t>
            </w:r>
          </w:p>
        </w:tc>
        <w:tc>
          <w:tcPr>
            <w:tcW w:w="122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jc w:val="center"/>
              <w:textAlignment w:val="auto"/>
              <w:rPr>
                <w:rFonts w:ascii="宋体" w:eastAsia="宋体" w:cs="宋体"/>
                <w:color w:val="000000" w:themeColor="text1"/>
                <w:szCs w:val="21"/>
                <w14:textFill>
                  <w14:solidFill>
                    <w14:schemeClr w14:val="tx1"/>
                  </w14:solidFill>
                </w14:textFill>
              </w:rPr>
            </w:pPr>
            <w:r>
              <w:rPr>
                <w:rFonts w:ascii="宋体" w:eastAsia="宋体" w:cs="宋体"/>
                <w:color w:val="000000" w:themeColor="text1"/>
                <w:szCs w:val="21"/>
                <w14:textFill>
                  <w14:solidFill>
                    <w14:schemeClr w14:val="tx1"/>
                  </w14:solidFill>
                </w14:textFill>
              </w:rPr>
              <w:t>11.20</w:t>
            </w:r>
          </w:p>
        </w:tc>
        <w:tc>
          <w:tcPr>
            <w:tcW w:w="1229"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jc w:val="center"/>
              <w:textAlignment w:val="auto"/>
              <w:rPr>
                <w:rFonts w:ascii="宋体" w:eastAsia="宋体" w:cs="宋体"/>
                <w:color w:val="000000" w:themeColor="text1"/>
                <w:szCs w:val="21"/>
                <w14:textFill>
                  <w14:solidFill>
                    <w14:schemeClr w14:val="tx1"/>
                  </w14:solidFill>
                </w14:textFill>
              </w:rPr>
            </w:pPr>
            <w:r>
              <w:rPr>
                <w:rFonts w:ascii="宋体" w:eastAsia="宋体" w:cs="宋体"/>
                <w:color w:val="000000" w:themeColor="text1"/>
                <w:szCs w:val="21"/>
                <w14:textFill>
                  <w14:solidFill>
                    <w14:schemeClr w14:val="tx1"/>
                  </w14:solidFill>
                </w14:textFill>
              </w:rPr>
              <w:t>12</w:t>
            </w:r>
          </w:p>
        </w:tc>
        <w:tc>
          <w:tcPr>
            <w:tcW w:w="1229"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jc w:val="center"/>
              <w:textAlignment w:val="auto"/>
              <w:rPr>
                <w:rFonts w:ascii="宋体" w:eastAsia="宋体" w:cs="宋体"/>
                <w:color w:val="000000" w:themeColor="text1"/>
                <w:szCs w:val="21"/>
                <w14:textFill>
                  <w14:solidFill>
                    <w14:schemeClr w14:val="tx1"/>
                  </w14:solidFill>
                </w14:textFill>
              </w:rPr>
            </w:pPr>
            <w:r>
              <w:rPr>
                <w:rFonts w:ascii="宋体" w:eastAsia="宋体" w:cs="宋体"/>
                <w:color w:val="000000" w:themeColor="text1"/>
                <w:szCs w:val="21"/>
                <w14:textFill>
                  <w14:solidFill>
                    <w14:schemeClr w14:val="tx1"/>
                  </w14:solidFill>
                </w14:textFill>
              </w:rPr>
              <w:t>[</w:t>
            </w:r>
            <w:r>
              <w:rPr>
                <w:rFonts w:hint="eastAsia" w:ascii="宋体" w:eastAsia="宋体" w:cs="宋体"/>
                <w:color w:val="000000" w:themeColor="text1"/>
                <w:szCs w:val="21"/>
                <w14:textFill>
                  <w14:solidFill>
                    <w14:schemeClr w14:val="tx1"/>
                  </w14:solidFill>
                </w14:textFill>
              </w:rPr>
              <w:t>0</w:t>
            </w:r>
            <w:r>
              <w:rPr>
                <w:rFonts w:ascii="宋体" w:eastAsia="宋体" w:cs="宋体"/>
                <w:color w:val="000000" w:themeColor="text1"/>
                <w:szCs w:val="21"/>
                <w14:textFill>
                  <w14:solidFill>
                    <w14:schemeClr w14:val="tx1"/>
                  </w14:solidFill>
                </w14:textFill>
              </w:rPr>
              <w:t>.80]</w:t>
            </w:r>
          </w:p>
        </w:tc>
      </w:tr>
      <w:tr>
        <w:tblPrEx>
          <w:tblLayout w:type="fixed"/>
          <w:tblCellMar>
            <w:top w:w="0" w:type="dxa"/>
            <w:left w:w="108" w:type="dxa"/>
            <w:bottom w:w="0" w:type="dxa"/>
            <w:right w:w="108" w:type="dxa"/>
          </w:tblCellMar>
        </w:tblPrEx>
        <w:trPr>
          <w:trHeight w:val="481" w:hRule="atLeast"/>
          <w:jc w:val="center"/>
        </w:trPr>
        <w:tc>
          <w:tcPr>
            <w:tcW w:w="817" w:type="dxa"/>
            <w:vMerge w:val="restart"/>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jc w:val="center"/>
              <w:textAlignment w:val="auto"/>
              <w:rPr>
                <w:rFonts w:ascii="宋体" w:eastAsia="宋体" w:cs="宋体"/>
                <w:color w:val="000000" w:themeColor="text1"/>
                <w:szCs w:val="21"/>
                <w14:textFill>
                  <w14:solidFill>
                    <w14:schemeClr w14:val="tx1"/>
                  </w14:solidFill>
                </w14:textFill>
              </w:rPr>
            </w:pPr>
            <w:r>
              <w:rPr>
                <w:rFonts w:hint="eastAsia" w:ascii="宋体" w:eastAsia="宋体" w:cs="宋体"/>
                <w:color w:val="000000" w:themeColor="text1"/>
                <w:szCs w:val="21"/>
                <w14:textFill>
                  <w14:solidFill>
                    <w14:schemeClr w14:val="tx1"/>
                  </w14:solidFill>
                </w14:textFill>
              </w:rPr>
              <w:t>绿色</w:t>
            </w:r>
          </w:p>
          <w:p>
            <w:pPr>
              <w:pStyle w:val="10"/>
              <w:keepNext w:val="0"/>
              <w:keepLines w:val="0"/>
              <w:pageBreakBefore w:val="0"/>
              <w:widowControl w:val="0"/>
              <w:kinsoku/>
              <w:wordWrap/>
              <w:overflowPunct/>
              <w:topLinePunct w:val="0"/>
              <w:autoSpaceDE/>
              <w:autoSpaceDN/>
              <w:bidi w:val="0"/>
              <w:spacing w:line="300" w:lineRule="exact"/>
              <w:jc w:val="center"/>
              <w:textAlignment w:val="auto"/>
              <w:rPr>
                <w:rFonts w:ascii="宋体" w:eastAsia="宋体" w:cs="宋体"/>
                <w:color w:val="000000" w:themeColor="text1"/>
                <w:szCs w:val="21"/>
                <w14:textFill>
                  <w14:solidFill>
                    <w14:schemeClr w14:val="tx1"/>
                  </w14:solidFill>
                </w14:textFill>
              </w:rPr>
            </w:pPr>
            <w:r>
              <w:rPr>
                <w:rFonts w:hint="eastAsia" w:ascii="宋体" w:eastAsia="宋体" w:cs="宋体"/>
                <w:color w:val="000000" w:themeColor="text1"/>
                <w:szCs w:val="21"/>
                <w14:textFill>
                  <w14:solidFill>
                    <w14:schemeClr w14:val="tx1"/>
                  </w14:solidFill>
                </w14:textFill>
              </w:rPr>
              <w:t>转型</w:t>
            </w:r>
          </w:p>
        </w:tc>
        <w:tc>
          <w:tcPr>
            <w:tcW w:w="4394"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spacing w:after="0" w:line="300" w:lineRule="exact"/>
              <w:ind w:left="0"/>
              <w:jc w:val="left"/>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.单位GDP能源消耗降幅（%）</w:t>
            </w:r>
          </w:p>
        </w:tc>
        <w:tc>
          <w:tcPr>
            <w:tcW w:w="122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240" w:lineRule="auto"/>
              <w:jc w:val="center"/>
              <w:textAlignment w:val="auto"/>
              <w:rPr>
                <w:rFonts w:ascii="宋体" w:eastAsia="宋体" w:cs="宋体"/>
                <w:color w:val="000000" w:themeColor="text1"/>
                <w:szCs w:val="21"/>
                <w14:textFill>
                  <w14:solidFill>
                    <w14:schemeClr w14:val="tx1"/>
                  </w14:solidFill>
                </w14:textFill>
              </w:rPr>
            </w:pPr>
            <w:r>
              <w:rPr>
                <w:rFonts w:hint="eastAsia" w:ascii="宋体" w:eastAsia="宋体" w:cs="宋体"/>
                <w:color w:val="000000" w:themeColor="text1"/>
                <w:szCs w:val="21"/>
                <w14:textFill>
                  <w14:solidFill>
                    <w14:schemeClr w14:val="tx1"/>
                  </w14:solidFill>
                </w14:textFill>
              </w:rPr>
              <w:t>-</w:t>
            </w:r>
            <w:r>
              <w:rPr>
                <w:rFonts w:ascii="宋体" w:eastAsia="宋体" w:cs="宋体"/>
                <w:color w:val="000000" w:themeColor="text1"/>
                <w:szCs w:val="21"/>
                <w14:textFill>
                  <w14:solidFill>
                    <w14:schemeClr w14:val="tx1"/>
                  </w14:solidFill>
                </w14:textFill>
              </w:rPr>
              <w:t>-</w:t>
            </w:r>
          </w:p>
        </w:tc>
        <w:tc>
          <w:tcPr>
            <w:tcW w:w="1229"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240" w:lineRule="auto"/>
              <w:jc w:val="center"/>
              <w:textAlignment w:val="auto"/>
              <w:rPr>
                <w:rFonts w:ascii="宋体" w:eastAsia="宋体" w:cs="宋体"/>
                <w:color w:val="000000" w:themeColor="text1"/>
                <w:szCs w:val="21"/>
                <w14:textFill>
                  <w14:solidFill>
                    <w14:schemeClr w14:val="tx1"/>
                  </w14:solidFill>
                </w14:textFill>
              </w:rPr>
            </w:pPr>
            <w:r>
              <w:rPr>
                <w:rFonts w:hint="eastAsia" w:ascii="宋体" w:eastAsia="宋体" w:cs="宋体"/>
                <w:color w:val="000000" w:themeColor="text1"/>
                <w:szCs w:val="21"/>
                <w14:textFill>
                  <w14:solidFill>
                    <w14:schemeClr w14:val="tx1"/>
                  </w14:solidFill>
                </w14:textFill>
              </w:rPr>
              <w:t>-</w:t>
            </w:r>
            <w:r>
              <w:rPr>
                <w:rFonts w:ascii="宋体" w:eastAsia="宋体" w:cs="宋体"/>
                <w:color w:val="000000" w:themeColor="text1"/>
                <w:szCs w:val="21"/>
                <w14:textFill>
                  <w14:solidFill>
                    <w14:schemeClr w14:val="tx1"/>
                  </w14:solidFill>
                </w14:textFill>
              </w:rPr>
              <w:t>-</w:t>
            </w:r>
          </w:p>
        </w:tc>
        <w:tc>
          <w:tcPr>
            <w:tcW w:w="1229"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jc w:val="center"/>
              <w:textAlignment w:val="auto"/>
              <w:rPr>
                <w:rFonts w:ascii="宋体" w:eastAsia="宋体" w:cs="宋体"/>
                <w:color w:val="000000" w:themeColor="text1"/>
                <w:szCs w:val="21"/>
                <w14:textFill>
                  <w14:solidFill>
                    <w14:schemeClr w14:val="tx1"/>
                  </w14:solidFill>
                </w14:textFill>
              </w:rPr>
            </w:pPr>
            <w:r>
              <w:rPr>
                <w:rFonts w:hint="eastAsia" w:ascii="宋体" w:eastAsia="宋体" w:cs="宋体"/>
                <w:color w:val="000000" w:themeColor="text1"/>
                <w:szCs w:val="21"/>
                <w14:textFill>
                  <w14:solidFill>
                    <w14:schemeClr w14:val="tx1"/>
                  </w14:solidFill>
                </w14:textFill>
              </w:rPr>
              <w:t>完成市下达任务</w:t>
            </w:r>
          </w:p>
        </w:tc>
      </w:tr>
      <w:tr>
        <w:tblPrEx>
          <w:tblLayout w:type="fixed"/>
          <w:tblCellMar>
            <w:top w:w="0" w:type="dxa"/>
            <w:left w:w="108" w:type="dxa"/>
            <w:bottom w:w="0" w:type="dxa"/>
            <w:right w:w="108" w:type="dxa"/>
          </w:tblCellMar>
        </w:tblPrEx>
        <w:trPr>
          <w:trHeight w:val="481"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ind w:firstLine="420"/>
              <w:jc w:val="center"/>
              <w:textAlignment w:val="auto"/>
              <w:rPr>
                <w:rFonts w:ascii="宋体" w:eastAsia="宋体" w:cs="宋体"/>
                <w:color w:val="000000" w:themeColor="text1"/>
                <w:szCs w:val="21"/>
                <w14:textFill>
                  <w14:solidFill>
                    <w14:schemeClr w14:val="tx1"/>
                  </w14:solidFill>
                </w14:textFill>
              </w:rPr>
            </w:pPr>
          </w:p>
        </w:tc>
        <w:tc>
          <w:tcPr>
            <w:tcW w:w="4394"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spacing w:after="0" w:line="300" w:lineRule="exact"/>
              <w:ind w:left="0"/>
              <w:jc w:val="left"/>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.单位GDP二氧化碳排放降幅（%）</w:t>
            </w:r>
          </w:p>
        </w:tc>
        <w:tc>
          <w:tcPr>
            <w:tcW w:w="122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240" w:lineRule="auto"/>
              <w:jc w:val="center"/>
              <w:textAlignment w:val="auto"/>
              <w:rPr>
                <w:rFonts w:ascii="宋体" w:eastAsia="宋体" w:cs="宋体"/>
                <w:color w:val="000000" w:themeColor="text1"/>
                <w:szCs w:val="21"/>
                <w14:textFill>
                  <w14:solidFill>
                    <w14:schemeClr w14:val="tx1"/>
                  </w14:solidFill>
                </w14:textFill>
              </w:rPr>
            </w:pPr>
            <w:r>
              <w:rPr>
                <w:rFonts w:hint="eastAsia" w:ascii="宋体" w:eastAsia="宋体" w:cs="宋体"/>
                <w:color w:val="000000" w:themeColor="text1"/>
                <w:szCs w:val="21"/>
                <w14:textFill>
                  <w14:solidFill>
                    <w14:schemeClr w14:val="tx1"/>
                  </w14:solidFill>
                </w14:textFill>
              </w:rPr>
              <w:t>-</w:t>
            </w:r>
            <w:r>
              <w:rPr>
                <w:rFonts w:ascii="宋体" w:eastAsia="宋体" w:cs="宋体"/>
                <w:color w:val="000000" w:themeColor="text1"/>
                <w:szCs w:val="21"/>
                <w14:textFill>
                  <w14:solidFill>
                    <w14:schemeClr w14:val="tx1"/>
                  </w14:solidFill>
                </w14:textFill>
              </w:rPr>
              <w:t>-</w:t>
            </w:r>
          </w:p>
        </w:tc>
        <w:tc>
          <w:tcPr>
            <w:tcW w:w="1229"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240" w:lineRule="auto"/>
              <w:jc w:val="center"/>
              <w:textAlignment w:val="auto"/>
              <w:rPr>
                <w:rFonts w:ascii="宋体" w:eastAsia="宋体" w:cs="宋体"/>
                <w:color w:val="000000" w:themeColor="text1"/>
                <w:szCs w:val="21"/>
                <w14:textFill>
                  <w14:solidFill>
                    <w14:schemeClr w14:val="tx1"/>
                  </w14:solidFill>
                </w14:textFill>
              </w:rPr>
            </w:pPr>
            <w:r>
              <w:rPr>
                <w:rFonts w:hint="eastAsia" w:ascii="宋体" w:eastAsia="宋体" w:cs="宋体"/>
                <w:color w:val="000000" w:themeColor="text1"/>
                <w:szCs w:val="21"/>
                <w14:textFill>
                  <w14:solidFill>
                    <w14:schemeClr w14:val="tx1"/>
                  </w14:solidFill>
                </w14:textFill>
              </w:rPr>
              <w:t>-</w:t>
            </w:r>
            <w:r>
              <w:rPr>
                <w:rFonts w:ascii="宋体" w:eastAsia="宋体" w:cs="宋体"/>
                <w:color w:val="000000" w:themeColor="text1"/>
                <w:szCs w:val="21"/>
                <w14:textFill>
                  <w14:solidFill>
                    <w14:schemeClr w14:val="tx1"/>
                  </w14:solidFill>
                </w14:textFill>
              </w:rPr>
              <w:t>-</w:t>
            </w: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完成市下达任务</w:t>
            </w:r>
          </w:p>
        </w:tc>
      </w:tr>
      <w:tr>
        <w:tblPrEx>
          <w:tblLayout w:type="fixed"/>
          <w:tblCellMar>
            <w:top w:w="0" w:type="dxa"/>
            <w:left w:w="108" w:type="dxa"/>
            <w:bottom w:w="0" w:type="dxa"/>
            <w:right w:w="108" w:type="dxa"/>
          </w:tblCellMar>
        </w:tblPrEx>
        <w:trPr>
          <w:trHeight w:val="481"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ind w:firstLine="420"/>
              <w:jc w:val="center"/>
              <w:textAlignment w:val="auto"/>
              <w:rPr>
                <w:rFonts w:ascii="宋体" w:eastAsia="宋体" w:cs="宋体"/>
                <w:color w:val="000000" w:themeColor="text1"/>
                <w:szCs w:val="21"/>
                <w14:textFill>
                  <w14:solidFill>
                    <w14:schemeClr w14:val="tx1"/>
                  </w14:solidFill>
                </w14:textFill>
              </w:rPr>
            </w:pPr>
          </w:p>
        </w:tc>
        <w:tc>
          <w:tcPr>
            <w:tcW w:w="43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00" w:lineRule="exact"/>
              <w:jc w:val="left"/>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ascii="宋体" w:hAnsi="宋体" w:eastAsia="宋体" w:cs="宋体"/>
                <w:color w:val="000000" w:themeColor="text1"/>
                <w:szCs w:val="21"/>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.城市空气质量优良天数比率（%）</w:t>
            </w:r>
          </w:p>
        </w:tc>
        <w:tc>
          <w:tcPr>
            <w:tcW w:w="122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240" w:lineRule="auto"/>
              <w:jc w:val="center"/>
              <w:textAlignment w:val="auto"/>
              <w:rPr>
                <w:rFonts w:ascii="宋体" w:eastAsia="宋体" w:cs="宋体"/>
                <w:color w:val="000000" w:themeColor="text1"/>
                <w:szCs w:val="21"/>
                <w14:textFill>
                  <w14:solidFill>
                    <w14:schemeClr w14:val="tx1"/>
                  </w14:solidFill>
                </w14:textFill>
              </w:rPr>
            </w:pPr>
            <w:r>
              <w:rPr>
                <w:rFonts w:hint="eastAsia" w:ascii="宋体" w:eastAsia="宋体" w:cs="宋体"/>
                <w:color w:val="000000" w:themeColor="text1"/>
                <w:szCs w:val="21"/>
                <w14:textFill>
                  <w14:solidFill>
                    <w14:schemeClr w14:val="tx1"/>
                  </w14:solidFill>
                </w14:textFill>
              </w:rPr>
              <w:t>-</w:t>
            </w:r>
            <w:r>
              <w:rPr>
                <w:rFonts w:ascii="宋体" w:eastAsia="宋体" w:cs="宋体"/>
                <w:color w:val="000000" w:themeColor="text1"/>
                <w:szCs w:val="21"/>
                <w14:textFill>
                  <w14:solidFill>
                    <w14:schemeClr w14:val="tx1"/>
                  </w14:solidFill>
                </w14:textFill>
              </w:rPr>
              <w:t>-</w:t>
            </w:r>
          </w:p>
        </w:tc>
        <w:tc>
          <w:tcPr>
            <w:tcW w:w="1229"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240" w:lineRule="auto"/>
              <w:jc w:val="center"/>
              <w:textAlignment w:val="auto"/>
              <w:rPr>
                <w:rFonts w:ascii="宋体" w:eastAsia="宋体" w:cs="宋体"/>
                <w:color w:val="000000" w:themeColor="text1"/>
                <w:szCs w:val="21"/>
                <w14:textFill>
                  <w14:solidFill>
                    <w14:schemeClr w14:val="tx1"/>
                  </w14:solidFill>
                </w14:textFill>
              </w:rPr>
            </w:pPr>
            <w:r>
              <w:rPr>
                <w:rFonts w:hint="eastAsia" w:ascii="宋体" w:eastAsia="宋体" w:cs="宋体"/>
                <w:color w:val="000000" w:themeColor="text1"/>
                <w:szCs w:val="21"/>
                <w14:textFill>
                  <w14:solidFill>
                    <w14:schemeClr w14:val="tx1"/>
                  </w14:solidFill>
                </w14:textFill>
              </w:rPr>
              <w:t>-</w:t>
            </w:r>
            <w:r>
              <w:rPr>
                <w:rFonts w:ascii="宋体" w:eastAsia="宋体" w:cs="宋体"/>
                <w:color w:val="000000" w:themeColor="text1"/>
                <w:szCs w:val="21"/>
                <w14:textFill>
                  <w14:solidFill>
                    <w14:schemeClr w14:val="tx1"/>
                  </w14:solidFill>
                </w14:textFill>
              </w:rPr>
              <w:t>-</w:t>
            </w: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完成市下达任务</w:t>
            </w:r>
          </w:p>
        </w:tc>
      </w:tr>
      <w:tr>
        <w:tblPrEx>
          <w:tblLayout w:type="fixed"/>
          <w:tblCellMar>
            <w:top w:w="0" w:type="dxa"/>
            <w:left w:w="108" w:type="dxa"/>
            <w:bottom w:w="0" w:type="dxa"/>
            <w:right w:w="108" w:type="dxa"/>
          </w:tblCellMar>
        </w:tblPrEx>
        <w:trPr>
          <w:trHeight w:val="481"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ind w:firstLine="420"/>
              <w:jc w:val="center"/>
              <w:textAlignment w:val="auto"/>
              <w:rPr>
                <w:rFonts w:ascii="宋体" w:eastAsia="宋体" w:cs="宋体"/>
                <w:color w:val="000000" w:themeColor="text1"/>
                <w:szCs w:val="21"/>
                <w14:textFill>
                  <w14:solidFill>
                    <w14:schemeClr w14:val="tx1"/>
                  </w14:solidFill>
                </w14:textFill>
              </w:rPr>
            </w:pPr>
          </w:p>
        </w:tc>
        <w:tc>
          <w:tcPr>
            <w:tcW w:w="43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00" w:lineRule="exact"/>
              <w:jc w:val="left"/>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ascii="宋体" w:hAnsi="宋体" w:eastAsia="宋体" w:cs="宋体"/>
                <w:color w:val="000000" w:themeColor="text1"/>
                <w:szCs w:val="21"/>
                <w14:textFill>
                  <w14:solidFill>
                    <w14:schemeClr w14:val="tx1"/>
                  </w14:solidFill>
                </w14:textFill>
              </w:rPr>
              <w:t>6</w:t>
            </w:r>
            <w:r>
              <w:rPr>
                <w:rFonts w:hint="eastAsia" w:ascii="宋体" w:hAnsi="宋体" w:eastAsia="宋体" w:cs="宋体"/>
                <w:color w:val="000000" w:themeColor="text1"/>
                <w:szCs w:val="21"/>
                <w14:textFill>
                  <w14:solidFill>
                    <w14:schemeClr w14:val="tx1"/>
                  </w14:solidFill>
                </w14:textFill>
              </w:rPr>
              <w:t>.城市细颗粒物（PM</w:t>
            </w:r>
            <w:r>
              <w:rPr>
                <w:rFonts w:hint="eastAsia" w:ascii="宋体" w:hAnsi="宋体" w:eastAsia="宋体" w:cs="宋体"/>
                <w:color w:val="000000" w:themeColor="text1"/>
                <w:vertAlign w:val="subscript"/>
                <w14:textFill>
                  <w14:solidFill>
                    <w14:schemeClr w14:val="tx1"/>
                  </w14:solidFill>
                </w14:textFill>
              </w:rPr>
              <w:t>2.5</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vertAlign w:val="subscript"/>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浓度降幅（%）</w:t>
            </w:r>
          </w:p>
        </w:tc>
        <w:tc>
          <w:tcPr>
            <w:tcW w:w="122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240" w:lineRule="auto"/>
              <w:jc w:val="center"/>
              <w:textAlignment w:val="auto"/>
              <w:rPr>
                <w:rFonts w:ascii="宋体" w:eastAsia="宋体" w:cs="宋体"/>
                <w:color w:val="000000" w:themeColor="text1"/>
                <w:szCs w:val="21"/>
                <w14:textFill>
                  <w14:solidFill>
                    <w14:schemeClr w14:val="tx1"/>
                  </w14:solidFill>
                </w14:textFill>
              </w:rPr>
            </w:pPr>
            <w:r>
              <w:rPr>
                <w:rFonts w:hint="eastAsia" w:ascii="宋体" w:eastAsia="宋体" w:cs="宋体"/>
                <w:color w:val="000000" w:themeColor="text1"/>
                <w:szCs w:val="21"/>
                <w14:textFill>
                  <w14:solidFill>
                    <w14:schemeClr w14:val="tx1"/>
                  </w14:solidFill>
                </w14:textFill>
              </w:rPr>
              <w:t>-</w:t>
            </w:r>
            <w:r>
              <w:rPr>
                <w:rFonts w:ascii="宋体" w:eastAsia="宋体" w:cs="宋体"/>
                <w:color w:val="000000" w:themeColor="text1"/>
                <w:szCs w:val="21"/>
                <w14:textFill>
                  <w14:solidFill>
                    <w14:schemeClr w14:val="tx1"/>
                  </w14:solidFill>
                </w14:textFill>
              </w:rPr>
              <w:t>-</w:t>
            </w:r>
          </w:p>
        </w:tc>
        <w:tc>
          <w:tcPr>
            <w:tcW w:w="1229"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240" w:lineRule="auto"/>
              <w:jc w:val="center"/>
              <w:textAlignment w:val="auto"/>
              <w:rPr>
                <w:rFonts w:ascii="宋体" w:eastAsia="宋体" w:cs="宋体"/>
                <w:color w:val="000000" w:themeColor="text1"/>
                <w:szCs w:val="21"/>
                <w14:textFill>
                  <w14:solidFill>
                    <w14:schemeClr w14:val="tx1"/>
                  </w14:solidFill>
                </w14:textFill>
              </w:rPr>
            </w:pPr>
            <w:r>
              <w:rPr>
                <w:rFonts w:hint="eastAsia" w:ascii="宋体" w:eastAsia="宋体" w:cs="宋体"/>
                <w:color w:val="000000" w:themeColor="text1"/>
                <w:szCs w:val="21"/>
                <w14:textFill>
                  <w14:solidFill>
                    <w14:schemeClr w14:val="tx1"/>
                  </w14:solidFill>
                </w14:textFill>
              </w:rPr>
              <w:t>-</w:t>
            </w:r>
            <w:r>
              <w:rPr>
                <w:rFonts w:ascii="宋体" w:eastAsia="宋体" w:cs="宋体"/>
                <w:color w:val="000000" w:themeColor="text1"/>
                <w:szCs w:val="21"/>
                <w14:textFill>
                  <w14:solidFill>
                    <w14:schemeClr w14:val="tx1"/>
                  </w14:solidFill>
                </w14:textFill>
              </w:rPr>
              <w:t>-</w:t>
            </w: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完成市下达任务</w:t>
            </w:r>
          </w:p>
        </w:tc>
      </w:tr>
      <w:tr>
        <w:tblPrEx>
          <w:tblLayout w:type="fixed"/>
          <w:tblCellMar>
            <w:top w:w="0" w:type="dxa"/>
            <w:left w:w="108" w:type="dxa"/>
            <w:bottom w:w="0" w:type="dxa"/>
            <w:right w:w="108" w:type="dxa"/>
          </w:tblCellMar>
        </w:tblPrEx>
        <w:trPr>
          <w:trHeight w:val="481"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ind w:firstLine="420"/>
              <w:jc w:val="center"/>
              <w:textAlignment w:val="auto"/>
              <w:rPr>
                <w:rFonts w:ascii="宋体" w:eastAsia="宋体" w:cs="宋体"/>
                <w:color w:val="000000" w:themeColor="text1"/>
                <w:szCs w:val="21"/>
                <w14:textFill>
                  <w14:solidFill>
                    <w14:schemeClr w14:val="tx1"/>
                  </w14:solidFill>
                </w14:textFill>
              </w:rPr>
            </w:pPr>
          </w:p>
        </w:tc>
        <w:tc>
          <w:tcPr>
            <w:tcW w:w="4394"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spacing w:after="0" w:line="300" w:lineRule="exact"/>
              <w:ind w:left="0"/>
              <w:jc w:val="left"/>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.地下水压采量（立方米）</w:t>
            </w:r>
          </w:p>
        </w:tc>
        <w:tc>
          <w:tcPr>
            <w:tcW w:w="122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240" w:lineRule="auto"/>
              <w:jc w:val="center"/>
              <w:textAlignment w:val="auto"/>
              <w:rPr>
                <w:rFonts w:ascii="宋体" w:eastAsia="宋体" w:cs="宋体"/>
                <w:color w:val="000000" w:themeColor="text1"/>
                <w:szCs w:val="21"/>
                <w14:textFill>
                  <w14:solidFill>
                    <w14:schemeClr w14:val="tx1"/>
                  </w14:solidFill>
                </w14:textFill>
              </w:rPr>
            </w:pPr>
            <w:r>
              <w:rPr>
                <w:rFonts w:hint="eastAsia" w:ascii="宋体" w:eastAsia="宋体" w:cs="宋体"/>
                <w:color w:val="000000" w:themeColor="text1"/>
                <w:szCs w:val="21"/>
                <w14:textFill>
                  <w14:solidFill>
                    <w14:schemeClr w14:val="tx1"/>
                  </w14:solidFill>
                </w14:textFill>
              </w:rPr>
              <w:t>-</w:t>
            </w:r>
            <w:r>
              <w:rPr>
                <w:rFonts w:ascii="宋体" w:eastAsia="宋体" w:cs="宋体"/>
                <w:color w:val="000000" w:themeColor="text1"/>
                <w:szCs w:val="21"/>
                <w14:textFill>
                  <w14:solidFill>
                    <w14:schemeClr w14:val="tx1"/>
                  </w14:solidFill>
                </w14:textFill>
              </w:rPr>
              <w:t>-</w:t>
            </w:r>
          </w:p>
        </w:tc>
        <w:tc>
          <w:tcPr>
            <w:tcW w:w="1229"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240" w:lineRule="auto"/>
              <w:jc w:val="center"/>
              <w:textAlignment w:val="auto"/>
              <w:rPr>
                <w:rFonts w:ascii="宋体" w:eastAsia="宋体" w:cs="宋体"/>
                <w:color w:val="000000" w:themeColor="text1"/>
                <w:szCs w:val="21"/>
                <w14:textFill>
                  <w14:solidFill>
                    <w14:schemeClr w14:val="tx1"/>
                  </w14:solidFill>
                </w14:textFill>
              </w:rPr>
            </w:pPr>
            <w:r>
              <w:rPr>
                <w:rFonts w:hint="eastAsia" w:ascii="宋体" w:eastAsia="宋体" w:cs="宋体"/>
                <w:color w:val="000000" w:themeColor="text1"/>
                <w:szCs w:val="21"/>
                <w14:textFill>
                  <w14:solidFill>
                    <w14:schemeClr w14:val="tx1"/>
                  </w14:solidFill>
                </w14:textFill>
              </w:rPr>
              <w:t>-</w:t>
            </w:r>
            <w:r>
              <w:rPr>
                <w:rFonts w:ascii="宋体" w:eastAsia="宋体" w:cs="宋体"/>
                <w:color w:val="000000" w:themeColor="text1"/>
                <w:szCs w:val="21"/>
                <w14:textFill>
                  <w14:solidFill>
                    <w14:schemeClr w14:val="tx1"/>
                  </w14:solidFill>
                </w14:textFill>
              </w:rPr>
              <w:t>-</w:t>
            </w: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完成市下达任务</w:t>
            </w:r>
          </w:p>
        </w:tc>
      </w:tr>
      <w:tr>
        <w:tblPrEx>
          <w:tblLayout w:type="fixed"/>
          <w:tblCellMar>
            <w:top w:w="0" w:type="dxa"/>
            <w:left w:w="108" w:type="dxa"/>
            <w:bottom w:w="0" w:type="dxa"/>
            <w:right w:w="108" w:type="dxa"/>
          </w:tblCellMar>
        </w:tblPrEx>
        <w:trPr>
          <w:trHeight w:val="481"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ind w:firstLine="420"/>
              <w:jc w:val="center"/>
              <w:textAlignment w:val="auto"/>
              <w:rPr>
                <w:rFonts w:ascii="宋体" w:eastAsia="宋体" w:cs="宋体"/>
                <w:color w:val="000000" w:themeColor="text1"/>
                <w:szCs w:val="21"/>
                <w14:textFill>
                  <w14:solidFill>
                    <w14:schemeClr w14:val="tx1"/>
                  </w14:solidFill>
                </w14:textFill>
              </w:rPr>
            </w:pPr>
          </w:p>
        </w:tc>
        <w:tc>
          <w:tcPr>
            <w:tcW w:w="4394"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spacing w:after="0" w:line="300" w:lineRule="exact"/>
              <w:ind w:left="0"/>
              <w:jc w:val="left"/>
              <w:textAlignment w:val="auto"/>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18</w:t>
            </w:r>
            <w:r>
              <w:rPr>
                <w:rFonts w:hint="eastAsia" w:ascii="宋体" w:hAnsi="宋体" w:cs="宋体"/>
                <w:color w:val="000000" w:themeColor="text1"/>
                <w:szCs w:val="21"/>
                <w14:textFill>
                  <w14:solidFill>
                    <w14:schemeClr w14:val="tx1"/>
                  </w14:solidFill>
                </w14:textFill>
              </w:rPr>
              <w:t>.达到或好于Ⅲ类水体占地表水比例（%）</w:t>
            </w:r>
          </w:p>
        </w:tc>
        <w:tc>
          <w:tcPr>
            <w:tcW w:w="122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240" w:lineRule="auto"/>
              <w:jc w:val="center"/>
              <w:textAlignment w:val="auto"/>
              <w:rPr>
                <w:rFonts w:ascii="宋体" w:eastAsia="宋体" w:cs="宋体"/>
                <w:color w:val="000000" w:themeColor="text1"/>
                <w:szCs w:val="21"/>
                <w14:textFill>
                  <w14:solidFill>
                    <w14:schemeClr w14:val="tx1"/>
                  </w14:solidFill>
                </w14:textFill>
              </w:rPr>
            </w:pPr>
            <w:r>
              <w:rPr>
                <w:rFonts w:hint="eastAsia" w:ascii="宋体" w:eastAsia="宋体" w:cs="宋体"/>
                <w:color w:val="000000" w:themeColor="text1"/>
                <w:szCs w:val="21"/>
                <w14:textFill>
                  <w14:solidFill>
                    <w14:schemeClr w14:val="tx1"/>
                  </w14:solidFill>
                </w14:textFill>
              </w:rPr>
              <w:t>-</w:t>
            </w:r>
            <w:r>
              <w:rPr>
                <w:rFonts w:ascii="宋体" w:eastAsia="宋体" w:cs="宋体"/>
                <w:color w:val="000000" w:themeColor="text1"/>
                <w:szCs w:val="21"/>
                <w14:textFill>
                  <w14:solidFill>
                    <w14:schemeClr w14:val="tx1"/>
                  </w14:solidFill>
                </w14:textFill>
              </w:rPr>
              <w:t>-</w:t>
            </w:r>
          </w:p>
        </w:tc>
        <w:tc>
          <w:tcPr>
            <w:tcW w:w="1229"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240" w:lineRule="auto"/>
              <w:jc w:val="center"/>
              <w:textAlignment w:val="auto"/>
              <w:rPr>
                <w:rFonts w:ascii="宋体" w:eastAsia="宋体" w:cs="宋体"/>
                <w:color w:val="000000" w:themeColor="text1"/>
                <w:szCs w:val="21"/>
                <w14:textFill>
                  <w14:solidFill>
                    <w14:schemeClr w14:val="tx1"/>
                  </w14:solidFill>
                </w14:textFill>
              </w:rPr>
            </w:pPr>
            <w:r>
              <w:rPr>
                <w:rFonts w:hint="eastAsia" w:ascii="宋体" w:eastAsia="宋体" w:cs="宋体"/>
                <w:color w:val="000000" w:themeColor="text1"/>
                <w:szCs w:val="21"/>
                <w14:textFill>
                  <w14:solidFill>
                    <w14:schemeClr w14:val="tx1"/>
                  </w14:solidFill>
                </w14:textFill>
              </w:rPr>
              <w:t>-</w:t>
            </w:r>
            <w:r>
              <w:rPr>
                <w:rFonts w:ascii="宋体" w:eastAsia="宋体" w:cs="宋体"/>
                <w:color w:val="000000" w:themeColor="text1"/>
                <w:szCs w:val="21"/>
                <w14:textFill>
                  <w14:solidFill>
                    <w14:schemeClr w14:val="tx1"/>
                  </w14:solidFill>
                </w14:textFill>
              </w:rPr>
              <w:t>-</w:t>
            </w: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宋体" w:hAnsi="宋体" w:eastAsia="宋体" w:cs="宋体"/>
                <w:color w:val="000000" w:themeColor="text1"/>
                <w:szCs w:val="21"/>
                <w14:textFill>
                  <w14:solidFill>
                    <w14:schemeClr w14:val="tx1"/>
                  </w14:solidFill>
                </w14:textFill>
              </w:rPr>
            </w:pPr>
            <w:r>
              <w:rPr>
                <w:rFonts w:hint="eastAsia" w:ascii="宋体" w:eastAsia="宋体" w:cs="宋体"/>
                <w:color w:val="000000" w:themeColor="text1"/>
                <w:szCs w:val="21"/>
                <w14:textFill>
                  <w14:solidFill>
                    <w14:schemeClr w14:val="tx1"/>
                  </w14:solidFill>
                </w14:textFill>
              </w:rPr>
              <w:t>完成市下达任务</w:t>
            </w:r>
          </w:p>
        </w:tc>
      </w:tr>
      <w:tr>
        <w:tblPrEx>
          <w:tblLayout w:type="fixed"/>
          <w:tblCellMar>
            <w:top w:w="0" w:type="dxa"/>
            <w:left w:w="108" w:type="dxa"/>
            <w:bottom w:w="0" w:type="dxa"/>
            <w:right w:w="108" w:type="dxa"/>
          </w:tblCellMar>
        </w:tblPrEx>
        <w:trPr>
          <w:trHeight w:val="486"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jc w:val="center"/>
              <w:textAlignment w:val="auto"/>
              <w:rPr>
                <w:rFonts w:ascii="宋体" w:eastAsia="宋体" w:cs="宋体"/>
                <w:color w:val="000000" w:themeColor="text1"/>
                <w:szCs w:val="21"/>
                <w14:textFill>
                  <w14:solidFill>
                    <w14:schemeClr w14:val="tx1"/>
                  </w14:solidFill>
                </w14:textFill>
              </w:rPr>
            </w:pPr>
            <w:r>
              <w:rPr>
                <w:rFonts w:hint="eastAsia" w:ascii="宋体" w:eastAsia="宋体" w:cs="宋体"/>
                <w:color w:val="000000" w:themeColor="text1"/>
                <w:szCs w:val="21"/>
                <w14:textFill>
                  <w14:solidFill>
                    <w14:schemeClr w14:val="tx1"/>
                  </w14:solidFill>
                </w14:textFill>
              </w:rPr>
              <w:t>安全</w:t>
            </w:r>
          </w:p>
          <w:p>
            <w:pPr>
              <w:pStyle w:val="10"/>
              <w:keepNext w:val="0"/>
              <w:keepLines w:val="0"/>
              <w:pageBreakBefore w:val="0"/>
              <w:widowControl w:val="0"/>
              <w:kinsoku/>
              <w:wordWrap/>
              <w:overflowPunct/>
              <w:topLinePunct w:val="0"/>
              <w:autoSpaceDE/>
              <w:autoSpaceDN/>
              <w:bidi w:val="0"/>
              <w:spacing w:line="300" w:lineRule="exact"/>
              <w:jc w:val="center"/>
              <w:textAlignment w:val="auto"/>
              <w:rPr>
                <w:rFonts w:ascii="宋体" w:eastAsia="宋体" w:cs="宋体"/>
                <w:color w:val="000000" w:themeColor="text1"/>
                <w:szCs w:val="21"/>
                <w14:textFill>
                  <w14:solidFill>
                    <w14:schemeClr w14:val="tx1"/>
                  </w14:solidFill>
                </w14:textFill>
              </w:rPr>
            </w:pPr>
            <w:r>
              <w:rPr>
                <w:rFonts w:hint="eastAsia" w:ascii="宋体" w:eastAsia="宋体" w:cs="宋体"/>
                <w:color w:val="000000" w:themeColor="text1"/>
                <w:szCs w:val="21"/>
                <w14:textFill>
                  <w14:solidFill>
                    <w14:schemeClr w14:val="tx1"/>
                  </w14:solidFill>
                </w14:textFill>
              </w:rPr>
              <w:t>保障</w:t>
            </w:r>
          </w:p>
        </w:tc>
        <w:tc>
          <w:tcPr>
            <w:tcW w:w="43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00" w:lineRule="exact"/>
              <w:jc w:val="left"/>
              <w:textAlignment w:val="auto"/>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19</w:t>
            </w:r>
            <w:r>
              <w:rPr>
                <w:rFonts w:hint="eastAsia" w:ascii="宋体" w:hAnsi="宋体" w:eastAsia="宋体" w:cs="宋体"/>
                <w:color w:val="000000" w:themeColor="text1"/>
                <w:szCs w:val="21"/>
                <w14:textFill>
                  <w14:solidFill>
                    <w14:schemeClr w14:val="tx1"/>
                  </w14:solidFill>
                </w14:textFill>
              </w:rPr>
              <w:t>.粮食综合生产能力（亿斤）</w:t>
            </w:r>
          </w:p>
        </w:tc>
        <w:tc>
          <w:tcPr>
            <w:tcW w:w="122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jc w:val="center"/>
              <w:textAlignment w:val="auto"/>
              <w:rPr>
                <w:rFonts w:ascii="宋体" w:eastAsia="宋体" w:cs="宋体"/>
                <w:color w:val="000000" w:themeColor="text1"/>
                <w:szCs w:val="21"/>
                <w14:textFill>
                  <w14:solidFill>
                    <w14:schemeClr w14:val="tx1"/>
                  </w14:solidFill>
                </w14:textFill>
              </w:rPr>
            </w:pPr>
            <w:r>
              <w:rPr>
                <w:rFonts w:hint="eastAsia" w:ascii="宋体" w:eastAsia="宋体" w:cs="宋体"/>
                <w:color w:val="000000" w:themeColor="text1"/>
                <w:szCs w:val="21"/>
                <w14:textFill>
                  <w14:solidFill>
                    <w14:schemeClr w14:val="tx1"/>
                  </w14:solidFill>
                </w14:textFill>
              </w:rPr>
              <w:t>5</w:t>
            </w:r>
            <w:r>
              <w:rPr>
                <w:rFonts w:ascii="宋体" w:eastAsia="宋体" w:cs="宋体"/>
                <w:color w:val="000000" w:themeColor="text1"/>
                <w:szCs w:val="21"/>
                <w14:textFill>
                  <w14:solidFill>
                    <w14:schemeClr w14:val="tx1"/>
                  </w14:solidFill>
                </w14:textFill>
              </w:rPr>
              <w:t>.32</w:t>
            </w:r>
          </w:p>
        </w:tc>
        <w:tc>
          <w:tcPr>
            <w:tcW w:w="1229"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jc w:val="center"/>
              <w:textAlignment w:val="auto"/>
              <w:rPr>
                <w:rFonts w:ascii="宋体" w:eastAsia="宋体" w:cs="宋体"/>
                <w:color w:val="000000" w:themeColor="text1"/>
                <w:szCs w:val="21"/>
                <w14:textFill>
                  <w14:solidFill>
                    <w14:schemeClr w14:val="tx1"/>
                  </w14:solidFill>
                </w14:textFill>
              </w:rPr>
            </w:pPr>
            <w:r>
              <w:rPr>
                <w:rFonts w:ascii="宋体" w:eastAsia="宋体" w:cs="宋体"/>
                <w:color w:val="000000" w:themeColor="text1"/>
                <w:szCs w:val="21"/>
                <w14:textFill>
                  <w14:solidFill>
                    <w14:schemeClr w14:val="tx1"/>
                  </w14:solidFill>
                </w14:textFill>
              </w:rPr>
              <w:t>5.60</w:t>
            </w:r>
          </w:p>
        </w:tc>
        <w:tc>
          <w:tcPr>
            <w:tcW w:w="1229"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300" w:lineRule="exact"/>
              <w:jc w:val="center"/>
              <w:textAlignment w:val="auto"/>
              <w:rPr>
                <w:rFonts w:ascii="宋体" w:eastAsia="宋体" w:cs="宋体"/>
                <w:color w:val="000000" w:themeColor="text1"/>
                <w:szCs w:val="21"/>
                <w14:textFill>
                  <w14:solidFill>
                    <w14:schemeClr w14:val="tx1"/>
                  </w14:solidFill>
                </w14:textFill>
              </w:rPr>
            </w:pPr>
            <w:r>
              <w:rPr>
                <w:rFonts w:ascii="宋体" w:eastAsia="宋体" w:cs="宋体"/>
                <w:color w:val="000000" w:themeColor="text1"/>
                <w:szCs w:val="21"/>
                <w14:textFill>
                  <w14:solidFill>
                    <w14:schemeClr w14:val="tx1"/>
                  </w14:solidFill>
                </w14:textFill>
              </w:rPr>
              <w:t>[</w:t>
            </w:r>
            <w:r>
              <w:rPr>
                <w:rFonts w:hint="eastAsia" w:ascii="宋体" w:eastAsia="宋体" w:cs="宋体"/>
                <w:color w:val="000000" w:themeColor="text1"/>
                <w:szCs w:val="21"/>
                <w:lang w:val="en-US" w:eastAsia="zh-CN"/>
                <w14:textFill>
                  <w14:solidFill>
                    <w14:schemeClr w14:val="tx1"/>
                  </w14:solidFill>
                </w14:textFill>
              </w:rPr>
              <w:t>0.28</w:t>
            </w:r>
            <w:r>
              <w:rPr>
                <w:rFonts w:ascii="宋体" w:eastAsia="宋体" w:cs="宋体"/>
                <w:color w:val="000000" w:themeColor="text1"/>
                <w:szCs w:val="21"/>
                <w14:textFill>
                  <w14:solidFill>
                    <w14:schemeClr w14:val="tx1"/>
                  </w14:solidFill>
                </w14:textFill>
              </w:rPr>
              <w:t>]</w:t>
            </w:r>
          </w:p>
        </w:tc>
      </w:tr>
    </w:tbl>
    <w:p>
      <w:pPr>
        <w:keepNext w:val="0"/>
        <w:keepLines w:val="0"/>
        <w:pageBreakBefore w:val="0"/>
        <w:widowControl w:val="0"/>
        <w:kinsoku/>
        <w:wordWrap/>
        <w:overflowPunct/>
        <w:topLinePunct w:val="0"/>
        <w:autoSpaceDE/>
        <w:autoSpaceDN/>
        <w:bidi w:val="0"/>
        <w:spacing w:line="600" w:lineRule="exact"/>
        <w:textAlignment w:val="auto"/>
        <w:rPr>
          <w:rFonts w:ascii="仿宋_GB2312" w:hAnsi="Times New Roman" w:eastAsia="仿宋_GB2312" w:cs="宋体"/>
          <w:color w:val="000000" w:themeColor="text1"/>
          <w:kern w:val="0"/>
          <w:sz w:val="32"/>
          <w:szCs w:val="32"/>
          <w14:textFill>
            <w14:solidFill>
              <w14:schemeClr w14:val="tx1"/>
            </w14:solidFill>
          </w14:textFill>
        </w:rPr>
      </w:pPr>
      <w:r>
        <w:rPr>
          <w:rFonts w:hint="eastAsia" w:ascii="仿宋_GB2312" w:hAnsi="Times New Roman" w:eastAsia="仿宋_GB2312" w:cs="宋体"/>
          <w:color w:val="000000" w:themeColor="text1"/>
          <w:kern w:val="0"/>
          <w:sz w:val="32"/>
          <w:szCs w:val="32"/>
          <w14:textFill>
            <w14:solidFill>
              <w14:schemeClr w14:val="tx1"/>
            </w14:solidFill>
          </w14:textFill>
        </w:rPr>
        <w:br w:type="page"/>
      </w:r>
    </w:p>
    <w:bookmarkEnd w:id="123"/>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ascii="黑体" w:hAnsi="黑体" w:eastAsia="黑体"/>
          <w:b w:val="0"/>
          <w:bCs w:val="0"/>
          <w:color w:val="000000" w:themeColor="text1"/>
          <w:sz w:val="28"/>
          <w:szCs w:val="28"/>
          <w14:textFill>
            <w14:solidFill>
              <w14:schemeClr w14:val="tx1"/>
            </w14:solidFill>
          </w14:textFill>
        </w:rPr>
      </w:pPr>
      <w:bookmarkStart w:id="128" w:name="_Toc20669"/>
      <w:bookmarkStart w:id="129" w:name="_Toc15999"/>
      <w:bookmarkStart w:id="130" w:name="_Toc15206"/>
      <w:r>
        <w:rPr>
          <w:rFonts w:hint="eastAsia" w:ascii="黑体" w:hAnsi="黑体" w:eastAsia="黑体"/>
          <w:b w:val="0"/>
          <w:bCs w:val="0"/>
          <w:color w:val="000000" w:themeColor="text1"/>
          <w:sz w:val="28"/>
          <w:szCs w:val="28"/>
          <w14:textFill>
            <w14:solidFill>
              <w14:schemeClr w14:val="tx1"/>
            </w14:solidFill>
          </w14:textFill>
        </w:rPr>
        <w:t>三、远景目标</w:t>
      </w:r>
      <w:bookmarkEnd w:id="128"/>
    </w:p>
    <w:p>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hAnsi="仿宋_GB2312"/>
          <w:color w:val="000000" w:themeColor="text1"/>
          <w:sz w:val="28"/>
          <w:szCs w:val="28"/>
          <w14:textFill>
            <w14:solidFill>
              <w14:schemeClr w14:val="tx1"/>
            </w14:solidFill>
          </w14:textFill>
        </w:rPr>
      </w:pPr>
      <w:r>
        <w:rPr>
          <w:rFonts w:hint="eastAsia" w:hAnsi="仿宋_GB2312"/>
          <w:color w:val="000000" w:themeColor="text1"/>
          <w:sz w:val="28"/>
          <w:szCs w:val="28"/>
          <w14:textFill>
            <w14:solidFill>
              <w14:schemeClr w14:val="tx1"/>
            </w14:solidFill>
          </w14:textFill>
        </w:rPr>
        <w:t>展望2035年，清河要达到基本实现社会主义现代化远景目标，全面建成实力清河、魅力清河、活力清河。</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hAnsi="仿宋_GB2312"/>
          <w:color w:val="000000" w:themeColor="text1"/>
          <w:sz w:val="28"/>
          <w:szCs w:val="28"/>
          <w14:textFill>
            <w14:solidFill>
              <w14:schemeClr w14:val="tx1"/>
            </w14:solidFill>
          </w14:textFill>
        </w:rPr>
      </w:pPr>
      <w:r>
        <w:rPr>
          <w:rFonts w:hint="eastAsia" w:hAnsi="仿宋_GB2312"/>
          <w:color w:val="000000" w:themeColor="text1"/>
          <w:sz w:val="28"/>
          <w:szCs w:val="28"/>
          <w14:textFill>
            <w14:solidFill>
              <w14:schemeClr w14:val="tx1"/>
            </w14:solidFill>
          </w14:textFill>
        </w:rPr>
        <w:t>全县综合实力大幅跃升，高质量赶超发展目标基本实现。城市建设不断提升，全面建成冀东南区域中心城市，对周边县市的引领辐射作用进一步加强。现代化产业体系建设全面推进，羊绒、汽车零部件等传统产业高端化全面提升，高新技术产业成为全县主导产业，智能制造、科技创新成为全县高质量发展主引擎，基本建成冀东南区域科创中心。人才生态建设位居全市前列，基本建成冀东南地区人才高地。网格化社会治理体系更加成熟，治理能力现代化基本实现，高标准智慧城市体系覆盖全域。社会事业各项工作全面进步，基本实现教育现代化、均衡化发展，公民综合素质达到新高度。生态环境建设取得重大成效，空气质量优良天数超过全省平均水平，广泛形成绿色生产生活方式，建成天蓝地绿河清的美丽清河。全面深化改革和发展深度融合、高效联动，全面建成开放、包容的营商环境。全面实现城乡融合发展，建成公共服务均等化机制，居民生活水平差距显著缩小，人民生活更加美好。</w:t>
      </w:r>
    </w:p>
    <w:p>
      <w:pPr>
        <w:keepNext w:val="0"/>
        <w:keepLines w:val="0"/>
        <w:pageBreakBefore w:val="0"/>
        <w:widowControl w:val="0"/>
        <w:kinsoku/>
        <w:wordWrap/>
        <w:overflowPunct/>
        <w:topLinePunct w:val="0"/>
        <w:autoSpaceDE/>
        <w:autoSpaceDN/>
        <w:bidi w:val="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br w:type="page"/>
      </w:r>
    </w:p>
    <w:p>
      <w:pPr>
        <w:pStyle w:val="4"/>
        <w:keepNext w:val="0"/>
        <w:keepLines w:val="0"/>
        <w:pageBreakBefore w:val="0"/>
        <w:widowControl w:val="0"/>
        <w:numPr>
          <w:ilvl w:val="0"/>
          <w:numId w:val="2"/>
        </w:numPr>
        <w:kinsoku/>
        <w:wordWrap/>
        <w:overflowPunct/>
        <w:topLinePunct w:val="0"/>
        <w:autoSpaceDE/>
        <w:autoSpaceDN/>
        <w:bidi w:val="0"/>
        <w:spacing w:before="0" w:after="0" w:line="600" w:lineRule="exact"/>
        <w:jc w:val="center"/>
        <w:textAlignment w:val="auto"/>
        <w:rPr>
          <w:rFonts w:ascii="宋体" w:hAnsi="宋体" w:eastAsia="宋体" w:cs="宋体"/>
          <w:color w:val="000000" w:themeColor="text1"/>
          <w:sz w:val="36"/>
          <w:szCs w:val="20"/>
          <w14:textFill>
            <w14:solidFill>
              <w14:schemeClr w14:val="tx1"/>
            </w14:solidFill>
          </w14:textFill>
        </w:rPr>
      </w:pPr>
      <w:bookmarkStart w:id="131" w:name="_Toc28224"/>
      <w:r>
        <w:rPr>
          <w:rFonts w:hint="eastAsia" w:ascii="宋体" w:hAnsi="宋体" w:eastAsia="宋体" w:cs="宋体"/>
          <w:color w:val="000000" w:themeColor="text1"/>
          <w:sz w:val="36"/>
          <w:szCs w:val="20"/>
          <w14:textFill>
            <w14:solidFill>
              <w14:schemeClr w14:val="tx1"/>
            </w14:solidFill>
          </w14:textFill>
        </w:rPr>
        <w:t>“十四五”时期清河高质量赶超发展的重点任务</w:t>
      </w:r>
      <w:bookmarkEnd w:id="129"/>
      <w:bookmarkEnd w:id="130"/>
      <w:bookmarkEnd w:id="131"/>
    </w:p>
    <w:p>
      <w:pPr>
        <w:keepNext w:val="0"/>
        <w:keepLines w:val="0"/>
        <w:pageBreakBefore w:val="0"/>
        <w:widowControl w:val="0"/>
        <w:kinsoku/>
        <w:wordWrap/>
        <w:overflowPunct/>
        <w:topLinePunct w:val="0"/>
        <w:autoSpaceDE/>
        <w:autoSpaceDN/>
        <w:bidi w:val="0"/>
        <w:textAlignment w:val="auto"/>
        <w:rPr>
          <w:color w:val="000000" w:themeColor="text1"/>
          <w14:textFill>
            <w14:solidFill>
              <w14:schemeClr w14:val="tx1"/>
            </w14:solidFill>
          </w14:textFill>
        </w:rPr>
      </w:pPr>
    </w:p>
    <w:p>
      <w:pPr>
        <w:pStyle w:val="5"/>
        <w:keepNext w:val="0"/>
        <w:keepLines w:val="0"/>
        <w:pageBreakBefore w:val="0"/>
        <w:widowControl w:val="0"/>
        <w:kinsoku/>
        <w:wordWrap/>
        <w:overflowPunct/>
        <w:topLinePunct w:val="0"/>
        <w:autoSpaceDE/>
        <w:autoSpaceDN/>
        <w:bidi w:val="0"/>
        <w:spacing w:before="0" w:after="0" w:line="560" w:lineRule="exact"/>
        <w:ind w:firstLine="560" w:firstLineChars="200"/>
        <w:textAlignment w:val="auto"/>
        <w:rPr>
          <w:rFonts w:ascii="黑体" w:hAnsi="黑体" w:eastAsia="黑体"/>
          <w:b w:val="0"/>
          <w:bCs w:val="0"/>
          <w:color w:val="000000" w:themeColor="text1"/>
          <w:sz w:val="28"/>
          <w:szCs w:val="28"/>
          <w14:textFill>
            <w14:solidFill>
              <w14:schemeClr w14:val="tx1"/>
            </w14:solidFill>
          </w14:textFill>
        </w:rPr>
      </w:pPr>
      <w:bookmarkStart w:id="132" w:name="_Toc20868"/>
      <w:bookmarkStart w:id="133" w:name="_Toc10523"/>
      <w:bookmarkStart w:id="134" w:name="_Toc8"/>
      <w:bookmarkStart w:id="135" w:name="_Toc14405"/>
      <w:r>
        <w:rPr>
          <w:rFonts w:hint="eastAsia" w:ascii="黑体" w:hAnsi="黑体" w:eastAsia="黑体"/>
          <w:b w:val="0"/>
          <w:bCs w:val="0"/>
          <w:color w:val="000000" w:themeColor="text1"/>
          <w:sz w:val="28"/>
          <w:szCs w:val="28"/>
          <w14:textFill>
            <w14:solidFill>
              <w14:schemeClr w14:val="tx1"/>
            </w14:solidFill>
          </w14:textFill>
        </w:rPr>
        <w:t>一、突出创新引领，塑造高质量赶超发展新优势</w:t>
      </w:r>
      <w:bookmarkEnd w:id="132"/>
      <w:bookmarkEnd w:id="133"/>
      <w:bookmarkEnd w:id="134"/>
      <w:bookmarkEnd w:id="135"/>
    </w:p>
    <w:p>
      <w:pPr>
        <w:keepNext w:val="0"/>
        <w:keepLines w:val="0"/>
        <w:pageBreakBefore w:val="0"/>
        <w:widowControl w:val="0"/>
        <w:kinsoku/>
        <w:wordWrap/>
        <w:overflowPunct/>
        <w:topLinePunct w:val="0"/>
        <w:autoSpaceDE/>
        <w:autoSpaceDN/>
        <w:bidi w:val="0"/>
        <w:spacing w:line="560" w:lineRule="exact"/>
        <w:ind w:firstLine="560" w:firstLineChars="200"/>
        <w:textAlignment w:val="auto"/>
        <w:outlineLvl w:val="2"/>
        <w:rPr>
          <w:rFonts w:ascii="楷体_GB2312" w:hAnsi="楷体_GB2312" w:eastAsia="楷体_GB2312" w:cs="楷体_GB2312"/>
          <w:b w:val="0"/>
          <w:bCs/>
          <w:color w:val="000000" w:themeColor="text1"/>
          <w:kern w:val="0"/>
          <w:sz w:val="28"/>
          <w:szCs w:val="28"/>
          <w14:textFill>
            <w14:solidFill>
              <w14:schemeClr w14:val="tx1"/>
            </w14:solidFill>
          </w14:textFill>
        </w:rPr>
      </w:pPr>
      <w:bookmarkStart w:id="136" w:name="_Toc16747"/>
      <w:r>
        <w:rPr>
          <w:rFonts w:hint="eastAsia" w:ascii="楷体_GB2312" w:hAnsi="楷体_GB2312" w:eastAsia="楷体_GB2312" w:cs="楷体_GB2312"/>
          <w:b w:val="0"/>
          <w:bCs/>
          <w:color w:val="000000" w:themeColor="text1"/>
          <w:kern w:val="0"/>
          <w:sz w:val="28"/>
          <w:szCs w:val="28"/>
          <w14:textFill>
            <w14:solidFill>
              <w14:schemeClr w14:val="tx1"/>
            </w14:solidFill>
          </w14:textFill>
        </w:rPr>
        <w:t>（一）优化创新环境</w:t>
      </w:r>
      <w:bookmarkEnd w:id="136"/>
    </w:p>
    <w:p>
      <w:pPr>
        <w:pStyle w:val="2"/>
        <w:keepNext w:val="0"/>
        <w:keepLines w:val="0"/>
        <w:pageBreakBefore w:val="0"/>
        <w:widowControl w:val="0"/>
        <w:kinsoku/>
        <w:wordWrap/>
        <w:overflowPunct/>
        <w:topLinePunct w:val="0"/>
        <w:autoSpaceDE/>
        <w:autoSpaceDN/>
        <w:bidi w:val="0"/>
        <w:spacing w:after="0" w:line="560" w:lineRule="exact"/>
        <w:ind w:firstLine="560" w:firstLineChars="200"/>
        <w:textAlignment w:val="auto"/>
        <w:rPr>
          <w:rFonts w:hAnsi="Times New Roman" w:cs="宋体"/>
          <w:color w:val="000000" w:themeColor="text1"/>
          <w:kern w:val="0"/>
          <w:sz w:val="28"/>
          <w:szCs w:val="28"/>
          <w14:textFill>
            <w14:solidFill>
              <w14:schemeClr w14:val="tx1"/>
            </w14:solidFill>
          </w14:textFill>
        </w:rPr>
      </w:pPr>
      <w:r>
        <w:rPr>
          <w:rFonts w:hint="eastAsia" w:hAnsi="仿宋_GB2312"/>
          <w:color w:val="000000" w:themeColor="text1"/>
          <w:sz w:val="28"/>
          <w:szCs w:val="28"/>
          <w14:textFill>
            <w14:solidFill>
              <w14:schemeClr w14:val="tx1"/>
            </w14:solidFill>
          </w14:textFill>
        </w:rPr>
        <w:t>探索建立科技创新综合服务体系，推动科技政策与产业、财政、金融等政策有机衔接，打造全链条、专业化科技创新公共服务平台。</w:t>
      </w:r>
      <w:r>
        <w:rPr>
          <w:rFonts w:hint="eastAsia" w:hAnsi="Times New Roman" w:cs="宋体"/>
          <w:color w:val="000000" w:themeColor="text1"/>
          <w:kern w:val="0"/>
          <w:sz w:val="28"/>
          <w:szCs w:val="28"/>
          <w14:textFill>
            <w14:solidFill>
              <w14:schemeClr w14:val="tx1"/>
            </w14:solidFill>
          </w14:textFill>
        </w:rPr>
        <w:t>加大财政科技创新投入，</w:t>
      </w:r>
      <w:r>
        <w:rPr>
          <w:rFonts w:hint="eastAsia" w:hAnsi="仿宋_GB2312"/>
          <w:color w:val="000000" w:themeColor="text1"/>
          <w:sz w:val="28"/>
          <w:szCs w:val="28"/>
          <w14:textFill>
            <w14:solidFill>
              <w14:schemeClr w14:val="tx1"/>
            </w14:solidFill>
          </w14:textFill>
        </w:rPr>
        <w:t>优化财政投入方式，更多运用财政后补助、间接投入等方式带动社会资本投入。加快科技管理职能转变，支持企业扩大研发投入，提高全社会研发支出占生产总值比重。鼓励银行创新金融服务，加大对科技创新资金支持力度。</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outlineLvl w:val="2"/>
        <w:rPr>
          <w:rFonts w:ascii="楷体_GB2312" w:hAnsi="楷体_GB2312" w:eastAsia="楷体_GB2312" w:cs="楷体_GB2312"/>
          <w:b w:val="0"/>
          <w:bCs/>
          <w:color w:val="000000" w:themeColor="text1"/>
          <w:kern w:val="0"/>
          <w:sz w:val="28"/>
          <w:szCs w:val="28"/>
          <w14:textFill>
            <w14:solidFill>
              <w14:schemeClr w14:val="tx1"/>
            </w14:solidFill>
          </w14:textFill>
        </w:rPr>
      </w:pPr>
      <w:bookmarkStart w:id="137" w:name="_Toc14338"/>
      <w:r>
        <w:rPr>
          <w:rFonts w:hint="eastAsia" w:ascii="楷体_GB2312" w:hAnsi="楷体_GB2312" w:eastAsia="楷体_GB2312" w:cs="楷体_GB2312"/>
          <w:b w:val="0"/>
          <w:bCs/>
          <w:color w:val="000000" w:themeColor="text1"/>
          <w:kern w:val="0"/>
          <w:sz w:val="28"/>
          <w:szCs w:val="28"/>
          <w14:textFill>
            <w14:solidFill>
              <w14:schemeClr w14:val="tx1"/>
            </w14:solidFill>
          </w14:textFill>
        </w:rPr>
        <w:t>（二）健全创新平台</w:t>
      </w:r>
      <w:bookmarkEnd w:id="137"/>
    </w:p>
    <w:p>
      <w:pPr>
        <w:keepNext w:val="0"/>
        <w:keepLines w:val="0"/>
        <w:pageBreakBefore w:val="0"/>
        <w:widowControl w:val="0"/>
        <w:kinsoku/>
        <w:wordWrap/>
        <w:overflowPunct/>
        <w:topLinePunct w:val="0"/>
        <w:autoSpaceDE/>
        <w:autoSpaceDN/>
        <w:bidi w:val="0"/>
        <w:spacing w:line="560" w:lineRule="exact"/>
        <w:ind w:firstLine="562" w:firstLineChars="200"/>
        <w:textAlignment w:val="auto"/>
        <w:rPr>
          <w:color w:val="000000" w:themeColor="text1"/>
          <w:sz w:val="28"/>
          <w:szCs w:val="28"/>
          <w14:textFill>
            <w14:solidFill>
              <w14:schemeClr w14:val="tx1"/>
            </w14:solidFill>
          </w14:textFill>
        </w:rPr>
      </w:pPr>
      <w:r>
        <w:rPr>
          <w:rFonts w:hint="eastAsia" w:ascii="仿宋_GB2312" w:hAnsi="Times New Roman" w:eastAsia="仿宋_GB2312" w:cs="宋体"/>
          <w:b/>
          <w:bCs/>
          <w:color w:val="000000" w:themeColor="text1"/>
          <w:kern w:val="0"/>
          <w:sz w:val="28"/>
          <w:szCs w:val="28"/>
          <w14:textFill>
            <w14:solidFill>
              <w14:schemeClr w14:val="tx1"/>
            </w14:solidFill>
          </w14:textFill>
        </w:rPr>
        <w:t>持续完善创新服务平台建设。</w:t>
      </w:r>
      <w:r>
        <w:rPr>
          <w:rFonts w:hint="eastAsia" w:ascii="仿宋_GB2312" w:hAnsi="Times New Roman" w:eastAsia="仿宋_GB2312" w:cs="宋体"/>
          <w:color w:val="000000" w:themeColor="text1"/>
          <w:kern w:val="0"/>
          <w:sz w:val="28"/>
          <w:szCs w:val="28"/>
          <w14:textFill>
            <w14:solidFill>
              <w14:schemeClr w14:val="tx1"/>
            </w14:solidFill>
          </w14:textFill>
        </w:rPr>
        <w:t>推动现有省级创新服务平台规范建设，充分发挥其在技术交流合作、高端人才引进、科技成果转化等方面的优势和作用，形成创新链无缝衔接和互动格局。支持河北株冀、河北昭友等企业申报省级创新中心；谋划建立新产品设计与展示中心，加快打造公共设计服务平台，</w:t>
      </w:r>
      <w:r>
        <w:rPr>
          <w:rFonts w:hint="eastAsia" w:ascii="仿宋_GB2312" w:hAnsi="Times New Roman" w:eastAsia="仿宋_GB2312" w:cs="宋体"/>
          <w:color w:val="000000" w:themeColor="text1"/>
          <w:kern w:val="0"/>
          <w:sz w:val="28"/>
          <w:szCs w:val="28"/>
          <w:lang w:eastAsia="zh-CN"/>
          <w14:textFill>
            <w14:solidFill>
              <w14:schemeClr w14:val="tx1"/>
            </w14:solidFill>
          </w14:textFill>
        </w:rPr>
        <w:t>积极</w:t>
      </w:r>
      <w:r>
        <w:rPr>
          <w:rFonts w:hint="eastAsia" w:ascii="仿宋_GB2312" w:hAnsi="Times New Roman" w:eastAsia="仿宋_GB2312" w:cs="宋体"/>
          <w:color w:val="000000" w:themeColor="text1"/>
          <w:kern w:val="0"/>
          <w:sz w:val="28"/>
          <w:szCs w:val="28"/>
          <w14:textFill>
            <w14:solidFill>
              <w14:schemeClr w14:val="tx1"/>
            </w14:solidFill>
          </w14:textFill>
        </w:rPr>
        <w:t>争创国家纺织服装创意设计试点。</w:t>
      </w:r>
      <w:r>
        <w:rPr>
          <w:rFonts w:hint="eastAsia" w:ascii="仿宋_GB2312" w:hAnsi="仿宋_GB2312" w:eastAsia="仿宋_GB2312" w:cs="仿宋_GB2312"/>
          <w:color w:val="000000" w:themeColor="text1"/>
          <w:sz w:val="28"/>
          <w:szCs w:val="28"/>
          <w14:textFill>
            <w14:solidFill>
              <w14:schemeClr w14:val="tx1"/>
            </w14:solidFill>
          </w14:textFill>
        </w:rPr>
        <w:t>推进汽车及零部件产业技术研究院、羊绒产业技术研究院、汽车零部件产业创新联盟、羊绒产业技术创新联盟等创新平台提升创新及服务能力。</w:t>
      </w:r>
      <w:r>
        <w:rPr>
          <w:rFonts w:hint="eastAsia" w:ascii="仿宋_GB2312" w:hAnsi="Times New Roman" w:eastAsia="仿宋_GB2312" w:cs="宋体"/>
          <w:b/>
          <w:bCs/>
          <w:color w:val="000000" w:themeColor="text1"/>
          <w:kern w:val="0"/>
          <w:sz w:val="28"/>
          <w:szCs w:val="28"/>
          <w14:textFill>
            <w14:solidFill>
              <w14:schemeClr w14:val="tx1"/>
            </w14:solidFill>
          </w14:textFill>
        </w:rPr>
        <w:t>持续做好众创空间建设。</w:t>
      </w:r>
      <w:r>
        <w:rPr>
          <w:rFonts w:hint="eastAsia" w:ascii="仿宋_GB2312" w:hAnsi="Times New Roman" w:eastAsia="仿宋_GB2312" w:cs="宋体"/>
          <w:color w:val="000000" w:themeColor="text1"/>
          <w:kern w:val="0"/>
          <w:sz w:val="28"/>
          <w:szCs w:val="28"/>
          <w14:textFill>
            <w14:solidFill>
              <w14:schemeClr w14:val="tx1"/>
            </w14:solidFill>
          </w14:textFill>
        </w:rPr>
        <w:t>众创空间进一步完善</w:t>
      </w:r>
      <w:r>
        <w:rPr>
          <w:rFonts w:hint="eastAsia" w:ascii="仿宋_GB2312" w:hAnsi="Times New Roman" w:eastAsia="仿宋_GB2312" w:cs="宋体"/>
          <w:color w:val="000000" w:themeColor="text1"/>
          <w:kern w:val="0"/>
          <w:sz w:val="28"/>
          <w:szCs w:val="28"/>
          <w:lang w:eastAsia="zh-CN"/>
          <w14:textFill>
            <w14:solidFill>
              <w14:schemeClr w14:val="tx1"/>
            </w14:solidFill>
          </w14:textFill>
        </w:rPr>
        <w:t>内涵</w:t>
      </w:r>
      <w:r>
        <w:rPr>
          <w:rFonts w:hint="eastAsia" w:ascii="仿宋_GB2312" w:hAnsi="Times New Roman" w:eastAsia="仿宋_GB2312" w:cs="宋体"/>
          <w:color w:val="000000" w:themeColor="text1"/>
          <w:kern w:val="0"/>
          <w:sz w:val="28"/>
          <w:szCs w:val="28"/>
          <w14:textFill>
            <w14:solidFill>
              <w14:schemeClr w14:val="tx1"/>
            </w14:solidFill>
          </w14:textFill>
        </w:rPr>
        <w:t>建设，提高服务能力和水平，为创业者提供完善的创业平台，使入驻创业者能够借力成长，降低创业成本，提高创业成功率。</w:t>
      </w:r>
      <w:r>
        <w:rPr>
          <w:rFonts w:hint="eastAsia" w:ascii="仿宋_GB2312" w:hAnsi="Times New Roman" w:eastAsia="仿宋_GB2312" w:cs="宋体"/>
          <w:b/>
          <w:bCs/>
          <w:color w:val="000000" w:themeColor="text1"/>
          <w:kern w:val="0"/>
          <w:sz w:val="28"/>
          <w:szCs w:val="28"/>
          <w14:textFill>
            <w14:solidFill>
              <w14:schemeClr w14:val="tx1"/>
            </w14:solidFill>
          </w14:textFill>
        </w:rPr>
        <w:t>充分利用京津冀“2+4+46”协同创新平台优势。</w:t>
      </w:r>
      <w:r>
        <w:rPr>
          <w:rFonts w:hint="eastAsia" w:ascii="仿宋_GB2312" w:hAnsi="Times New Roman" w:eastAsia="仿宋_GB2312" w:cs="宋体"/>
          <w:color w:val="000000" w:themeColor="text1"/>
          <w:kern w:val="0"/>
          <w:sz w:val="28"/>
          <w:szCs w:val="28"/>
          <w14:textFill>
            <w14:solidFill>
              <w14:schemeClr w14:val="tx1"/>
            </w14:solidFill>
          </w14:textFill>
        </w:rPr>
        <w:t>全面加强与中科院、</w:t>
      </w:r>
      <w:r>
        <w:rPr>
          <w:rFonts w:hint="eastAsia" w:ascii="仿宋_GB2312" w:hAnsi="仿宋_GB2312" w:eastAsia="仿宋_GB2312" w:cs="仿宋_GB2312"/>
          <w:color w:val="000000" w:themeColor="text1"/>
          <w:sz w:val="28"/>
          <w:szCs w:val="28"/>
          <w14:textFill>
            <w14:solidFill>
              <w14:schemeClr w14:val="tx1"/>
            </w14:solidFill>
          </w14:textFill>
        </w:rPr>
        <w:t>中国科学院大学</w:t>
      </w:r>
      <w:r>
        <w:rPr>
          <w:rFonts w:hint="eastAsia" w:ascii="仿宋_GB2312" w:hAnsi="Times New Roman" w:eastAsia="仿宋_GB2312" w:cs="宋体"/>
          <w:color w:val="000000" w:themeColor="text1"/>
          <w:kern w:val="0"/>
          <w:sz w:val="28"/>
          <w:szCs w:val="28"/>
          <w14:textFill>
            <w14:solidFill>
              <w14:schemeClr w14:val="tx1"/>
            </w14:solidFill>
          </w14:textFill>
        </w:rPr>
        <w:t>等资源的战略合作，重点围绕产业升级、技术研发、新材料共性技术攻关、新技术孵化应用等领域，共建成果转化和创新创业基地，努力打造“政府引、产业用、院校研、基地转”的集成产学研新模式。</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outlineLvl w:val="2"/>
        <w:rPr>
          <w:rFonts w:ascii="楷体_GB2312" w:hAnsi="楷体_GB2312" w:eastAsia="楷体_GB2312" w:cs="楷体_GB2312"/>
          <w:b w:val="0"/>
          <w:bCs/>
          <w:color w:val="000000" w:themeColor="text1"/>
          <w:kern w:val="0"/>
          <w:sz w:val="28"/>
          <w:szCs w:val="28"/>
          <w14:textFill>
            <w14:solidFill>
              <w14:schemeClr w14:val="tx1"/>
            </w14:solidFill>
          </w14:textFill>
        </w:rPr>
      </w:pPr>
      <w:bookmarkStart w:id="138" w:name="_Toc1839"/>
      <w:r>
        <w:rPr>
          <w:rFonts w:hint="eastAsia" w:ascii="楷体_GB2312" w:hAnsi="楷体_GB2312" w:eastAsia="楷体_GB2312" w:cs="楷体_GB2312"/>
          <w:b w:val="0"/>
          <w:bCs/>
          <w:color w:val="000000" w:themeColor="text1"/>
          <w:kern w:val="0"/>
          <w:sz w:val="28"/>
          <w:szCs w:val="28"/>
          <w14:textFill>
            <w14:solidFill>
              <w14:schemeClr w14:val="tx1"/>
            </w14:solidFill>
          </w14:textFill>
        </w:rPr>
        <w:t>（三）培育创新主体</w:t>
      </w:r>
      <w:bookmarkEnd w:id="138"/>
    </w:p>
    <w:p>
      <w:pPr>
        <w:pStyle w:val="2"/>
        <w:keepNext w:val="0"/>
        <w:keepLines w:val="0"/>
        <w:pageBreakBefore w:val="0"/>
        <w:widowControl w:val="0"/>
        <w:kinsoku/>
        <w:wordWrap/>
        <w:overflowPunct/>
        <w:topLinePunct w:val="0"/>
        <w:autoSpaceDE/>
        <w:autoSpaceDN/>
        <w:bidi w:val="0"/>
        <w:spacing w:after="0" w:line="560" w:lineRule="exact"/>
        <w:ind w:firstLine="560" w:firstLineChars="200"/>
        <w:textAlignment w:val="auto"/>
        <w:rPr>
          <w:color w:val="000000" w:themeColor="text1"/>
          <w:sz w:val="28"/>
          <w:szCs w:val="28"/>
          <w14:textFill>
            <w14:solidFill>
              <w14:schemeClr w14:val="tx1"/>
            </w14:solidFill>
          </w14:textFill>
        </w:rPr>
      </w:pPr>
      <w:r>
        <w:rPr>
          <w:rFonts w:hint="eastAsia" w:hAnsi="仿宋_GB2312"/>
          <w:color w:val="000000" w:themeColor="text1"/>
          <w:sz w:val="28"/>
          <w:szCs w:val="28"/>
          <w14:textFill>
            <w14:solidFill>
              <w14:schemeClr w14:val="tx1"/>
            </w14:solidFill>
          </w14:textFill>
        </w:rPr>
        <w:t>强化企业创新主体地位，完善鼓励企业技术创新政策，促进各类创新要素向企业聚集。大力培育高新技术企业、科技型中小企业和“专精特新”中小企业。鼓励支持并积极配合企业、专业创新机构申报上级科技创新项目，落实各项科技创新支持政策。支持和引导企业加强与大中专院校及科研机构的交流合作，鼓励企业与高校和科研院所建立“订单式”产学研合作体系，推动产学研协同发展。鼓励引导企业引进科研成果在我县转化。发挥企业家在创新中的关键作用，支持企业牵头组建创新联合体，促进新技术大规模应用和技术迭代。</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outlineLvl w:val="2"/>
        <w:rPr>
          <w:rFonts w:ascii="楷体_GB2312" w:hAnsi="楷体_GB2312" w:eastAsia="楷体_GB2312" w:cs="楷体_GB2312"/>
          <w:b w:val="0"/>
          <w:bCs/>
          <w:color w:val="000000" w:themeColor="text1"/>
          <w:kern w:val="0"/>
          <w:sz w:val="28"/>
          <w:szCs w:val="28"/>
          <w14:textFill>
            <w14:solidFill>
              <w14:schemeClr w14:val="tx1"/>
            </w14:solidFill>
          </w14:textFill>
        </w:rPr>
      </w:pPr>
      <w:bookmarkStart w:id="139" w:name="_Toc5949"/>
      <w:r>
        <w:rPr>
          <w:rFonts w:hint="eastAsia" w:ascii="楷体_GB2312" w:hAnsi="楷体_GB2312" w:eastAsia="楷体_GB2312" w:cs="楷体_GB2312"/>
          <w:b w:val="0"/>
          <w:bCs/>
          <w:color w:val="000000" w:themeColor="text1"/>
          <w:kern w:val="0"/>
          <w:sz w:val="28"/>
          <w:szCs w:val="28"/>
          <w14:textFill>
            <w14:solidFill>
              <w14:schemeClr w14:val="tx1"/>
            </w14:solidFill>
          </w14:textFill>
        </w:rPr>
        <w:t>（四）聚集创新人才</w:t>
      </w:r>
      <w:bookmarkEnd w:id="139"/>
    </w:p>
    <w:p>
      <w:pPr>
        <w:keepNext w:val="0"/>
        <w:keepLines w:val="0"/>
        <w:pageBreakBefore w:val="0"/>
        <w:widowControl w:val="0"/>
        <w:kinsoku/>
        <w:wordWrap/>
        <w:overflowPunct/>
        <w:topLinePunct w:val="0"/>
        <w:autoSpaceDE/>
        <w:autoSpaceDN/>
        <w:bidi w:val="0"/>
        <w:spacing w:line="560" w:lineRule="exact"/>
        <w:ind w:firstLine="562"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完善人才机制体制。</w:t>
      </w:r>
      <w:r>
        <w:rPr>
          <w:rFonts w:hint="eastAsia" w:ascii="仿宋_GB2312" w:hAnsi="仿宋_GB2312" w:eastAsia="仿宋_GB2312" w:cs="仿宋_GB2312"/>
          <w:color w:val="000000" w:themeColor="text1"/>
          <w:sz w:val="28"/>
          <w:szCs w:val="28"/>
          <w14:textFill>
            <w14:solidFill>
              <w14:schemeClr w14:val="tx1"/>
            </w14:solidFill>
          </w14:textFill>
        </w:rPr>
        <w:t>健全人才政策体系，形成“引进、培养、使用、激励、流动、保障”等重要因素配套的人才队伍建设机制。创新“兼职、讲学、咨询、短期服务、技术合作、技术入股”等柔性引才方式。健全以创新能力、质量、实效、贡献为导向的科技人才评价体系；引导企业实行股权、期权、分红等激励措施，全面增强对人才的吸引力和汇聚力。</w:t>
      </w:r>
    </w:p>
    <w:p>
      <w:pPr>
        <w:keepNext w:val="0"/>
        <w:keepLines w:val="0"/>
        <w:pageBreakBefore w:val="0"/>
        <w:widowControl w:val="0"/>
        <w:kinsoku/>
        <w:wordWrap/>
        <w:overflowPunct/>
        <w:topLinePunct w:val="0"/>
        <w:autoSpaceDE/>
        <w:autoSpaceDN/>
        <w:bidi w:val="0"/>
        <w:spacing w:line="560" w:lineRule="exact"/>
        <w:ind w:firstLine="562"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加大人才引进培育力度。</w:t>
      </w:r>
      <w:r>
        <w:rPr>
          <w:rFonts w:hint="eastAsia" w:ascii="仿宋_GB2312" w:hAnsi="仿宋_GB2312" w:eastAsia="仿宋_GB2312" w:cs="仿宋_GB2312"/>
          <w:color w:val="000000" w:themeColor="text1"/>
          <w:sz w:val="28"/>
          <w:szCs w:val="28"/>
          <w14:textFill>
            <w14:solidFill>
              <w14:schemeClr w14:val="tx1"/>
            </w14:solidFill>
          </w14:textFill>
        </w:rPr>
        <w:t>大力实施“百名高层次人才招引”工程，着力引进“两院”院士、长江学者、国家“杰青”、省“三三三人才工程”专家等高层次科技人才及创新团队。持续开展“清智回清”活动，吸引在外地工作的清河籍各类人才回清发展，创业就业。强化企业家培训力度，采用“引进来”讲学、“走出去”培训等形式，组织县域规模以上企业、成长性企业老板、高管等开展系统培训。</w:t>
      </w:r>
    </w:p>
    <w:p>
      <w:pPr>
        <w:pStyle w:val="5"/>
        <w:keepNext w:val="0"/>
        <w:keepLines w:val="0"/>
        <w:pageBreakBefore w:val="0"/>
        <w:widowControl w:val="0"/>
        <w:kinsoku/>
        <w:wordWrap/>
        <w:overflowPunct/>
        <w:topLinePunct w:val="0"/>
        <w:autoSpaceDE/>
        <w:autoSpaceDN/>
        <w:bidi w:val="0"/>
        <w:spacing w:before="0" w:after="0" w:line="560" w:lineRule="exact"/>
        <w:ind w:firstLine="560" w:firstLineChars="200"/>
        <w:textAlignment w:val="auto"/>
        <w:rPr>
          <w:rFonts w:ascii="黑体" w:hAnsi="黑体" w:eastAsia="黑体"/>
          <w:b w:val="0"/>
          <w:bCs w:val="0"/>
          <w:color w:val="000000" w:themeColor="text1"/>
          <w:sz w:val="28"/>
          <w:szCs w:val="28"/>
          <w14:textFill>
            <w14:solidFill>
              <w14:schemeClr w14:val="tx1"/>
            </w14:solidFill>
          </w14:textFill>
        </w:rPr>
      </w:pPr>
      <w:bookmarkStart w:id="140" w:name="_Toc21595"/>
      <w:bookmarkStart w:id="141" w:name="_Toc21557"/>
      <w:bookmarkStart w:id="142" w:name="_Toc27389"/>
      <w:bookmarkStart w:id="143" w:name="_Toc4750"/>
      <w:r>
        <w:rPr>
          <w:rFonts w:hint="eastAsia" w:ascii="黑体" w:hAnsi="黑体" w:eastAsia="黑体"/>
          <w:b w:val="0"/>
          <w:bCs w:val="0"/>
          <w:color w:val="000000" w:themeColor="text1"/>
          <w:sz w:val="28"/>
          <w:szCs w:val="28"/>
          <w14:textFill>
            <w14:solidFill>
              <w14:schemeClr w14:val="tx1"/>
            </w14:solidFill>
          </w14:textFill>
        </w:rPr>
        <w:t>二、聚焦服务提质，激发高质量赶超发展新活力</w:t>
      </w:r>
      <w:bookmarkEnd w:id="140"/>
      <w:bookmarkEnd w:id="141"/>
      <w:bookmarkEnd w:id="142"/>
      <w:bookmarkEnd w:id="143"/>
    </w:p>
    <w:p>
      <w:pPr>
        <w:pStyle w:val="2"/>
        <w:keepNext w:val="0"/>
        <w:keepLines w:val="0"/>
        <w:pageBreakBefore w:val="0"/>
        <w:widowControl w:val="0"/>
        <w:kinsoku/>
        <w:wordWrap/>
        <w:overflowPunct/>
        <w:topLinePunct w:val="0"/>
        <w:autoSpaceDE/>
        <w:autoSpaceDN/>
        <w:bidi w:val="0"/>
        <w:spacing w:after="0" w:line="560" w:lineRule="exact"/>
        <w:ind w:firstLine="560" w:firstLineChars="200"/>
        <w:textAlignment w:val="auto"/>
        <w:rPr>
          <w:rFonts w:hAnsi="仿宋_GB2312"/>
          <w:color w:val="000000" w:themeColor="text1"/>
          <w:sz w:val="28"/>
          <w:szCs w:val="28"/>
          <w14:textFill>
            <w14:solidFill>
              <w14:schemeClr w14:val="tx1"/>
            </w14:solidFill>
          </w14:textFill>
        </w:rPr>
      </w:pPr>
      <w:bookmarkStart w:id="144" w:name="_Toc14618"/>
      <w:r>
        <w:rPr>
          <w:rFonts w:hint="eastAsia" w:hAnsi="仿宋_GB2312"/>
          <w:color w:val="000000" w:themeColor="text1"/>
          <w:sz w:val="28"/>
          <w:szCs w:val="28"/>
          <w14:textFill>
            <w14:solidFill>
              <w14:schemeClr w14:val="tx1"/>
            </w14:solidFill>
          </w14:textFill>
        </w:rPr>
        <w:t>围绕打造“全省第一、全国领先”营商环境，对标江浙沪先进地区，制定营商环境攻坚计划，落实“规定动作”，创新“自选动作”，积极营造务实高效的政务环境、公平公正的法治环境、竞争有序的市场环境、大气包容的人文环境，努力把营商环境锻造成为清河的“金字招牌”。</w:t>
      </w:r>
      <w:bookmarkEnd w:id="144"/>
    </w:p>
    <w:p>
      <w:pPr>
        <w:keepNext w:val="0"/>
        <w:keepLines w:val="0"/>
        <w:pageBreakBefore w:val="0"/>
        <w:widowControl w:val="0"/>
        <w:kinsoku/>
        <w:wordWrap/>
        <w:overflowPunct/>
        <w:topLinePunct w:val="0"/>
        <w:autoSpaceDE/>
        <w:autoSpaceDN/>
        <w:bidi w:val="0"/>
        <w:spacing w:line="560" w:lineRule="exact"/>
        <w:ind w:firstLine="560" w:firstLineChars="200"/>
        <w:textAlignment w:val="auto"/>
        <w:outlineLvl w:val="2"/>
        <w:rPr>
          <w:rFonts w:ascii="楷体_GB2312" w:hAnsi="楷体_GB2312" w:eastAsia="楷体_GB2312" w:cs="楷体_GB2312"/>
          <w:b w:val="0"/>
          <w:bCs/>
          <w:color w:val="000000" w:themeColor="text1"/>
          <w:kern w:val="0"/>
          <w:sz w:val="28"/>
          <w:szCs w:val="28"/>
          <w14:textFill>
            <w14:solidFill>
              <w14:schemeClr w14:val="tx1"/>
            </w14:solidFill>
          </w14:textFill>
        </w:rPr>
      </w:pPr>
      <w:bookmarkStart w:id="145" w:name="_Toc11761"/>
      <w:r>
        <w:rPr>
          <w:rFonts w:hint="eastAsia" w:ascii="楷体_GB2312" w:hAnsi="楷体_GB2312" w:eastAsia="楷体_GB2312" w:cs="楷体_GB2312"/>
          <w:b w:val="0"/>
          <w:bCs/>
          <w:color w:val="000000" w:themeColor="text1"/>
          <w:kern w:val="0"/>
          <w:sz w:val="28"/>
          <w:szCs w:val="28"/>
          <w14:textFill>
            <w14:solidFill>
              <w14:schemeClr w14:val="tx1"/>
            </w14:solidFill>
          </w14:textFill>
        </w:rPr>
        <w:t>（一）营造一流服务环境</w:t>
      </w:r>
      <w:bookmarkEnd w:id="145"/>
    </w:p>
    <w:p>
      <w:pPr>
        <w:pStyle w:val="2"/>
        <w:keepNext w:val="0"/>
        <w:keepLines w:val="0"/>
        <w:pageBreakBefore w:val="0"/>
        <w:widowControl w:val="0"/>
        <w:kinsoku/>
        <w:wordWrap/>
        <w:overflowPunct/>
        <w:topLinePunct w:val="0"/>
        <w:autoSpaceDE/>
        <w:autoSpaceDN/>
        <w:bidi w:val="0"/>
        <w:spacing w:after="0" w:line="560" w:lineRule="exact"/>
        <w:ind w:firstLine="560" w:firstLineChars="200"/>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加快“无证明城市”建设，全力推行“妈妈式”服务，</w:t>
      </w:r>
      <w:r>
        <w:rPr>
          <w:rFonts w:hint="eastAsia" w:ascii="仿宋_GB2312" w:hAnsi="仿宋_GB2312" w:eastAsia="仿宋_GB2312" w:cs="仿宋_GB2312"/>
          <w:color w:val="000000" w:themeColor="text1"/>
          <w:kern w:val="0"/>
          <w:sz w:val="28"/>
          <w:szCs w:val="28"/>
          <w14:textFill>
            <w14:solidFill>
              <w14:schemeClr w14:val="tx1"/>
            </w14:solidFill>
          </w14:textFill>
        </w:rPr>
        <w:t>积极推进行政审批改革步伐。</w:t>
      </w:r>
      <w:r>
        <w:rPr>
          <w:rFonts w:hint="eastAsia" w:ascii="仿宋_GB2312" w:hAnsi="Times New Roman" w:eastAsia="仿宋_GB2312" w:cs="宋体"/>
          <w:b/>
          <w:bCs/>
          <w:color w:val="000000" w:themeColor="text1"/>
          <w:kern w:val="0"/>
          <w:sz w:val="28"/>
          <w:szCs w:val="28"/>
          <w14:textFill>
            <w14:solidFill>
              <w14:schemeClr w14:val="tx1"/>
            </w14:solidFill>
          </w14:textFill>
        </w:rPr>
        <w:t>完善审批服务体系。</w:t>
      </w:r>
      <w:r>
        <w:rPr>
          <w:rFonts w:ascii="仿宋_GB2312" w:hAnsi="Times New Roman" w:eastAsia="仿宋_GB2312" w:cs="宋体"/>
          <w:color w:val="000000" w:themeColor="text1"/>
          <w:kern w:val="0"/>
          <w:sz w:val="28"/>
          <w:szCs w:val="28"/>
          <w14:textFill>
            <w14:solidFill>
              <w14:schemeClr w14:val="tx1"/>
            </w14:solidFill>
          </w14:textFill>
        </w:rPr>
        <w:t>打造集行政审批、公共服务、公共资源交易服务和监管、中介服务、政务公开、效能监察等综合服务功能于一体的新型公共服务集合体，建立完善</w:t>
      </w:r>
      <w:r>
        <w:rPr>
          <w:rFonts w:hint="eastAsia" w:ascii="仿宋_GB2312" w:hAnsi="Times New Roman" w:eastAsia="仿宋_GB2312" w:cs="宋体"/>
          <w:color w:val="000000" w:themeColor="text1"/>
          <w:kern w:val="0"/>
          <w:sz w:val="28"/>
          <w:szCs w:val="28"/>
          <w14:textFill>
            <w14:solidFill>
              <w14:schemeClr w14:val="tx1"/>
            </w14:solidFill>
          </w14:textFill>
        </w:rPr>
        <w:t>县</w:t>
      </w:r>
      <w:r>
        <w:rPr>
          <w:rFonts w:ascii="仿宋_GB2312" w:hAnsi="Times New Roman" w:eastAsia="仿宋_GB2312" w:cs="宋体"/>
          <w:color w:val="000000" w:themeColor="text1"/>
          <w:kern w:val="0"/>
          <w:sz w:val="28"/>
          <w:szCs w:val="28"/>
          <w14:textFill>
            <w14:solidFill>
              <w14:schemeClr w14:val="tx1"/>
            </w14:solidFill>
          </w14:textFill>
        </w:rPr>
        <w:t>、镇、村（社区）</w:t>
      </w:r>
      <w:r>
        <w:rPr>
          <w:rFonts w:hint="eastAsia" w:ascii="仿宋_GB2312" w:hAnsi="Times New Roman" w:eastAsia="仿宋_GB2312" w:cs="宋体"/>
          <w:color w:val="000000" w:themeColor="text1"/>
          <w:kern w:val="0"/>
          <w:sz w:val="28"/>
          <w:szCs w:val="28"/>
          <w14:textFill>
            <w14:solidFill>
              <w14:schemeClr w14:val="tx1"/>
            </w14:solidFill>
          </w14:textFill>
        </w:rPr>
        <w:t>三</w:t>
      </w:r>
      <w:r>
        <w:rPr>
          <w:rFonts w:ascii="仿宋_GB2312" w:hAnsi="Times New Roman" w:eastAsia="仿宋_GB2312" w:cs="宋体"/>
          <w:color w:val="000000" w:themeColor="text1"/>
          <w:kern w:val="0"/>
          <w:sz w:val="28"/>
          <w:szCs w:val="28"/>
          <w14:textFill>
            <w14:solidFill>
              <w14:schemeClr w14:val="tx1"/>
            </w14:solidFill>
          </w14:textFill>
        </w:rPr>
        <w:t>级政务服务体系</w:t>
      </w:r>
      <w:r>
        <w:rPr>
          <w:rFonts w:hint="eastAsia" w:ascii="仿宋_GB2312" w:hAnsi="Times New Roman" w:eastAsia="仿宋_GB2312" w:cs="宋体"/>
          <w:color w:val="000000" w:themeColor="text1"/>
          <w:kern w:val="0"/>
          <w:sz w:val="28"/>
          <w:szCs w:val="28"/>
          <w14:textFill>
            <w14:solidFill>
              <w14:schemeClr w14:val="tx1"/>
            </w14:solidFill>
          </w14:textFill>
        </w:rPr>
        <w:t>，推进政务服务一体化</w:t>
      </w:r>
      <w:r>
        <w:rPr>
          <w:rFonts w:ascii="仿宋_GB2312" w:hAnsi="Times New Roman" w:eastAsia="仿宋_GB2312" w:cs="宋体"/>
          <w:color w:val="000000" w:themeColor="text1"/>
          <w:kern w:val="0"/>
          <w:sz w:val="28"/>
          <w:szCs w:val="28"/>
          <w14:textFill>
            <w14:solidFill>
              <w14:schemeClr w14:val="tx1"/>
            </w14:solidFill>
          </w14:textFill>
        </w:rPr>
        <w:t>。</w:t>
      </w:r>
      <w:bookmarkStart w:id="146" w:name="_Toc50063261"/>
      <w:r>
        <w:rPr>
          <w:rFonts w:hint="eastAsia" w:ascii="仿宋_GB2312" w:hAnsi="Times New Roman" w:eastAsia="仿宋_GB2312" w:cs="宋体"/>
          <w:b/>
          <w:bCs/>
          <w:color w:val="000000" w:themeColor="text1"/>
          <w:kern w:val="0"/>
          <w:sz w:val="28"/>
          <w:szCs w:val="28"/>
          <w14:textFill>
            <w14:solidFill>
              <w14:schemeClr w14:val="tx1"/>
            </w14:solidFill>
          </w14:textFill>
        </w:rPr>
        <w:t>优化审批服务流程。</w:t>
      </w:r>
      <w:bookmarkEnd w:id="146"/>
      <w:bookmarkStart w:id="147" w:name="_Toc50063270"/>
      <w:r>
        <w:rPr>
          <w:rFonts w:hint="eastAsia" w:ascii="Times New Roman" w:hAnsi="Times New Roman" w:eastAsia="仿宋_GB2312" w:cs="Times New Roman"/>
          <w:color w:val="000000" w:themeColor="text1"/>
          <w:sz w:val="28"/>
          <w:szCs w:val="28"/>
          <w14:textFill>
            <w14:solidFill>
              <w14:schemeClr w14:val="tx1"/>
            </w14:solidFill>
          </w14:textFill>
        </w:rPr>
        <w:t>打造智慧政务模式，构建</w:t>
      </w:r>
      <w:r>
        <w:rPr>
          <w:rFonts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14:textFill>
            <w14:solidFill>
              <w14:schemeClr w14:val="tx1"/>
            </w14:solidFill>
          </w14:textFill>
        </w:rPr>
        <w:t>网办为主、自助为辅、大厅为补</w:t>
      </w:r>
      <w:r>
        <w:rPr>
          <w:rFonts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14:textFill>
            <w14:solidFill>
              <w14:schemeClr w14:val="tx1"/>
            </w14:solidFill>
          </w14:textFill>
        </w:rPr>
        <w:t>的立体服务新格局</w:t>
      </w:r>
      <w:bookmarkEnd w:id="147"/>
      <w:bookmarkStart w:id="148" w:name="_Toc50063276"/>
      <w:r>
        <w:rPr>
          <w:rFonts w:hint="eastAsia" w:ascii="Times New Roman" w:hAnsi="Times New Roman" w:eastAsia="仿宋_GB2312" w:cs="Times New Roman"/>
          <w:color w:val="000000" w:themeColor="text1"/>
          <w:sz w:val="28"/>
          <w:szCs w:val="28"/>
          <w14:textFill>
            <w14:solidFill>
              <w14:schemeClr w14:val="tx1"/>
            </w14:solidFill>
          </w14:textFill>
        </w:rPr>
        <w:t>。在大力实施“三简三全”“全不见面”改革创新的基础上，积极深化“一张网、无证明，一码通、全网办”服务新模式，推进服务数字化、智能化、便捷化。实施新型</w:t>
      </w:r>
      <w:r>
        <w:rPr>
          <w:rFonts w:hint="cs"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14:textFill>
            <w14:solidFill>
              <w14:schemeClr w14:val="tx1"/>
            </w14:solidFill>
          </w14:textFill>
        </w:rPr>
        <w:t>智慧大厅</w:t>
      </w:r>
      <w:r>
        <w:rPr>
          <w:rFonts w:hint="cs"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14:textFill>
            <w14:solidFill>
              <w14:schemeClr w14:val="tx1"/>
            </w14:solidFill>
          </w14:textFill>
        </w:rPr>
        <w:t>标杆行动，支撑</w:t>
      </w:r>
      <w:r>
        <w:rPr>
          <w:rFonts w:hint="cs"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14:textFill>
            <w14:solidFill>
              <w14:schemeClr w14:val="tx1"/>
            </w14:solidFill>
          </w14:textFill>
        </w:rPr>
        <w:t>一门一窗</w:t>
      </w:r>
      <w:r>
        <w:rPr>
          <w:rFonts w:hint="cs"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14:textFill>
            <w14:solidFill>
              <w14:schemeClr w14:val="tx1"/>
            </w14:solidFill>
          </w14:textFill>
        </w:rPr>
        <w:t>改革纵深发展</w:t>
      </w:r>
      <w:bookmarkEnd w:id="148"/>
      <w:bookmarkStart w:id="149" w:name="_Toc50063282"/>
      <w:r>
        <w:rPr>
          <w:rFonts w:hint="eastAsia" w:ascii="Times New Roman" w:hAnsi="Times New Roman" w:eastAsia="仿宋_GB2312" w:cs="Times New Roman"/>
          <w:color w:val="000000" w:themeColor="text1"/>
          <w:sz w:val="28"/>
          <w:szCs w:val="28"/>
          <w14:textFill>
            <w14:solidFill>
              <w14:schemeClr w14:val="tx1"/>
            </w14:solidFill>
          </w14:textFill>
        </w:rPr>
        <w:t>开放、投诉、评估“三管齐下”，倒逼政务公开转型升级</w:t>
      </w:r>
      <w:bookmarkEnd w:id="149"/>
      <w:r>
        <w:rPr>
          <w:rFonts w:hint="eastAsia"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b/>
          <w:bCs/>
          <w:color w:val="000000" w:themeColor="text1"/>
          <w:sz w:val="28"/>
          <w:szCs w:val="28"/>
          <w14:textFill>
            <w14:solidFill>
              <w14:schemeClr w14:val="tx1"/>
            </w14:solidFill>
          </w14:textFill>
        </w:rPr>
        <w:t>全面构建亲清政商关系和高效服务机制。</w:t>
      </w:r>
      <w:r>
        <w:rPr>
          <w:rFonts w:hint="eastAsia" w:hAnsi="Times New Roman" w:cs="宋体"/>
          <w:color w:val="000000" w:themeColor="text1"/>
          <w:kern w:val="0"/>
          <w:sz w:val="28"/>
          <w:szCs w:val="28"/>
          <w14:textFill>
            <w14:solidFill>
              <w14:schemeClr w14:val="tx1"/>
            </w14:solidFill>
          </w14:textFill>
        </w:rPr>
        <w:t>坚持脚往下走，问需于企、问计于企、问效于企，认真倾听企业诉求，一企一策，精准帮扶。由政府为主导，商会为依托，企业共同参与，加快建立企业融资过桥基金，着力破解企业短期融资难、融资贵难题。及时制定或完善有关扶持民营企业发展相关政策，让每一个在清河创业发展的企业都能享受到政策扶持的阳光雨露，“大树更旺，小树更壮”。</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outlineLvl w:val="2"/>
        <w:rPr>
          <w:rFonts w:ascii="楷体_GB2312" w:hAnsi="楷体_GB2312" w:eastAsia="楷体_GB2312" w:cs="楷体_GB2312"/>
          <w:b w:val="0"/>
          <w:bCs/>
          <w:color w:val="000000" w:themeColor="text1"/>
          <w:kern w:val="0"/>
          <w:sz w:val="28"/>
          <w:szCs w:val="28"/>
          <w14:textFill>
            <w14:solidFill>
              <w14:schemeClr w14:val="tx1"/>
            </w14:solidFill>
          </w14:textFill>
        </w:rPr>
      </w:pPr>
      <w:bookmarkStart w:id="150" w:name="_Toc3244"/>
      <w:r>
        <w:rPr>
          <w:rFonts w:hint="eastAsia" w:ascii="楷体_GB2312" w:hAnsi="楷体_GB2312" w:eastAsia="楷体_GB2312" w:cs="楷体_GB2312"/>
          <w:b w:val="0"/>
          <w:bCs/>
          <w:color w:val="000000" w:themeColor="text1"/>
          <w:kern w:val="0"/>
          <w:sz w:val="28"/>
          <w:szCs w:val="28"/>
          <w14:textFill>
            <w14:solidFill>
              <w14:schemeClr w14:val="tx1"/>
            </w14:solidFill>
          </w14:textFill>
        </w:rPr>
        <w:t>（二）深化“放管服”改革</w:t>
      </w:r>
      <w:bookmarkEnd w:id="150"/>
    </w:p>
    <w:p>
      <w:pPr>
        <w:pStyle w:val="2"/>
        <w:keepNext w:val="0"/>
        <w:keepLines w:val="0"/>
        <w:pageBreakBefore w:val="0"/>
        <w:widowControl w:val="0"/>
        <w:kinsoku/>
        <w:wordWrap/>
        <w:overflowPunct/>
        <w:topLinePunct w:val="0"/>
        <w:autoSpaceDE/>
        <w:autoSpaceDN/>
        <w:bidi w:val="0"/>
        <w:spacing w:after="0" w:line="560" w:lineRule="exact"/>
        <w:ind w:firstLine="560" w:firstLineChars="200"/>
        <w:textAlignment w:val="auto"/>
        <w:rPr>
          <w:rFonts w:hAnsi="Times New Roman" w:cs="宋体"/>
          <w:color w:val="000000" w:themeColor="text1"/>
          <w:kern w:val="0"/>
          <w:sz w:val="28"/>
          <w:szCs w:val="28"/>
          <w14:textFill>
            <w14:solidFill>
              <w14:schemeClr w14:val="tx1"/>
            </w14:solidFill>
          </w14:textFill>
        </w:rPr>
      </w:pPr>
      <w:r>
        <w:rPr>
          <w:rFonts w:hint="eastAsia" w:hAnsi="Times New Roman" w:cs="宋体"/>
          <w:color w:val="000000" w:themeColor="text1"/>
          <w:kern w:val="0"/>
          <w:sz w:val="28"/>
          <w:szCs w:val="28"/>
          <w14:textFill>
            <w14:solidFill>
              <w14:schemeClr w14:val="tx1"/>
            </w14:solidFill>
          </w14:textFill>
        </w:rPr>
        <w:t>着力实施降本减负专项行动，严格落实企业减税降费政策。牢固树立“政务就是服务”的理念，大力推行“现场办、并联办、简化办、网上办、限时办”，为企业提供更加优质高效的服务。加快推进“互联网+政务服务”平台建设及应用，加快县镇村三级网络审批服务平台建设，推动线上线下业务办理深度融合，让“群众少跑腿，数据多跑路”。</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outlineLvl w:val="2"/>
        <w:rPr>
          <w:rFonts w:ascii="楷体_GB2312" w:hAnsi="楷体_GB2312" w:eastAsia="楷体_GB2312" w:cs="楷体_GB2312"/>
          <w:b w:val="0"/>
          <w:bCs/>
          <w:color w:val="000000" w:themeColor="text1"/>
          <w:kern w:val="0"/>
          <w:sz w:val="28"/>
          <w:szCs w:val="28"/>
          <w14:textFill>
            <w14:solidFill>
              <w14:schemeClr w14:val="tx1"/>
            </w14:solidFill>
          </w14:textFill>
        </w:rPr>
      </w:pPr>
      <w:bookmarkStart w:id="151" w:name="_Toc2924"/>
      <w:bookmarkStart w:id="152" w:name="_Toc25018"/>
      <w:bookmarkStart w:id="153" w:name="_Toc9653"/>
      <w:bookmarkStart w:id="154" w:name="_Toc16402"/>
      <w:r>
        <w:rPr>
          <w:rFonts w:hint="eastAsia" w:ascii="楷体_GB2312" w:hAnsi="楷体_GB2312" w:eastAsia="楷体_GB2312" w:cs="楷体_GB2312"/>
          <w:b w:val="0"/>
          <w:bCs/>
          <w:color w:val="000000" w:themeColor="text1"/>
          <w:kern w:val="0"/>
          <w:sz w:val="28"/>
          <w:szCs w:val="28"/>
          <w14:textFill>
            <w14:solidFill>
              <w14:schemeClr w14:val="tx1"/>
            </w14:solidFill>
          </w14:textFill>
        </w:rPr>
        <w:t>（</w:t>
      </w:r>
      <w:r>
        <w:rPr>
          <w:rFonts w:hint="eastAsia" w:ascii="楷体_GB2312" w:hAnsi="楷体_GB2312" w:eastAsia="楷体_GB2312" w:cs="楷体_GB2312"/>
          <w:b w:val="0"/>
          <w:bCs/>
          <w:color w:val="000000" w:themeColor="text1"/>
          <w:kern w:val="0"/>
          <w:sz w:val="28"/>
          <w:szCs w:val="28"/>
          <w:lang w:val="en-US" w:eastAsia="zh-CN"/>
          <w14:textFill>
            <w14:solidFill>
              <w14:schemeClr w14:val="tx1"/>
            </w14:solidFill>
          </w14:textFill>
        </w:rPr>
        <w:t>三</w:t>
      </w:r>
      <w:r>
        <w:rPr>
          <w:rFonts w:hint="eastAsia" w:ascii="楷体_GB2312" w:hAnsi="楷体_GB2312" w:eastAsia="楷体_GB2312" w:cs="楷体_GB2312"/>
          <w:b w:val="0"/>
          <w:bCs/>
          <w:color w:val="000000" w:themeColor="text1"/>
          <w:kern w:val="0"/>
          <w:sz w:val="28"/>
          <w:szCs w:val="28"/>
          <w14:textFill>
            <w14:solidFill>
              <w14:schemeClr w14:val="tx1"/>
            </w14:solidFill>
          </w14:textFill>
        </w:rPr>
        <w:t>）推进社会信用体系建设</w:t>
      </w:r>
      <w:bookmarkEnd w:id="151"/>
    </w:p>
    <w:p>
      <w:pPr>
        <w:pStyle w:val="2"/>
        <w:keepNext w:val="0"/>
        <w:keepLines w:val="0"/>
        <w:pageBreakBefore w:val="0"/>
        <w:widowControl w:val="0"/>
        <w:kinsoku/>
        <w:wordWrap/>
        <w:overflowPunct/>
        <w:topLinePunct w:val="0"/>
        <w:autoSpaceDE/>
        <w:autoSpaceDN/>
        <w:bidi w:val="0"/>
        <w:spacing w:after="0" w:line="560" w:lineRule="exact"/>
        <w:ind w:firstLine="560" w:firstLineChars="200"/>
        <w:textAlignment w:val="auto"/>
        <w:rPr>
          <w:rFonts w:hAnsi="仿宋_GB2312"/>
          <w:color w:val="000000" w:themeColor="text1"/>
          <w:sz w:val="28"/>
          <w:szCs w:val="28"/>
          <w14:textFill>
            <w14:solidFill>
              <w14:schemeClr w14:val="tx1"/>
            </w14:solidFill>
          </w14:textFill>
        </w:rPr>
      </w:pPr>
      <w:r>
        <w:rPr>
          <w:rFonts w:hint="eastAsia" w:hAnsi="仿宋_GB2312"/>
          <w:color w:val="000000" w:themeColor="text1"/>
          <w:sz w:val="28"/>
          <w:szCs w:val="28"/>
          <w14:textFill>
            <w14:solidFill>
              <w14:schemeClr w14:val="tx1"/>
            </w14:solidFill>
          </w14:textFill>
        </w:rPr>
        <w:t>认真落实《邢台市信用体系建设保50争30工作方案》，</w:t>
      </w:r>
      <w:r>
        <w:rPr>
          <w:rFonts w:hint="eastAsia"/>
          <w:color w:val="000000" w:themeColor="text1"/>
          <w:sz w:val="28"/>
          <w:szCs w:val="28"/>
          <w14:textFill>
            <w14:solidFill>
              <w14:schemeClr w14:val="tx1"/>
            </w14:solidFill>
          </w14:textFill>
        </w:rPr>
        <w:t>加快市场监管信用体系建设，制定出台信用积分和信用评价管理办法，推进市场监管领域涉企信息统一归集，</w:t>
      </w:r>
      <w:r>
        <w:rPr>
          <w:rFonts w:hint="eastAsia" w:hAnsi="仿宋_GB2312"/>
          <w:color w:val="000000" w:themeColor="text1"/>
          <w:sz w:val="28"/>
          <w:szCs w:val="28"/>
          <w14:textFill>
            <w14:solidFill>
              <w14:schemeClr w14:val="tx1"/>
            </w14:solidFill>
          </w14:textFill>
        </w:rPr>
        <w:t>完善信用报告使用、企业信用评级标准、政务诚信建设、以信用为基础的新型监管机制，着力构建“一处失信、处处受限”的联合惩戒机制，</w:t>
      </w:r>
      <w:r>
        <w:rPr>
          <w:rFonts w:hint="eastAsia"/>
          <w:color w:val="000000" w:themeColor="text1"/>
          <w:sz w:val="28"/>
          <w:szCs w:val="28"/>
          <w14:textFill>
            <w14:solidFill>
              <w14:schemeClr w14:val="tx1"/>
            </w14:solidFill>
          </w14:textFill>
        </w:rPr>
        <w:t>强化市场主体年报主体责任和违法失信联合惩戒。加强知识产权领域信用体系建设，对知识产权领域严重失信行为开展联合惩戒。积极探索信用体系在市场监管、城市管理、安全生产、社区农村管理等重点领域应用。</w:t>
      </w:r>
    </w:p>
    <w:p>
      <w:pPr>
        <w:pStyle w:val="5"/>
        <w:keepNext w:val="0"/>
        <w:keepLines w:val="0"/>
        <w:pageBreakBefore w:val="0"/>
        <w:widowControl w:val="0"/>
        <w:kinsoku/>
        <w:wordWrap/>
        <w:overflowPunct/>
        <w:topLinePunct w:val="0"/>
        <w:autoSpaceDE/>
        <w:autoSpaceDN/>
        <w:bidi w:val="0"/>
        <w:spacing w:before="0" w:after="0" w:line="560" w:lineRule="exact"/>
        <w:ind w:firstLine="560" w:firstLineChars="200"/>
        <w:textAlignment w:val="auto"/>
        <w:rPr>
          <w:rFonts w:ascii="黑体" w:hAnsi="黑体" w:eastAsia="黑体"/>
          <w:b w:val="0"/>
          <w:bCs w:val="0"/>
          <w:color w:val="000000" w:themeColor="text1"/>
          <w:sz w:val="28"/>
          <w:szCs w:val="28"/>
          <w14:textFill>
            <w14:solidFill>
              <w14:schemeClr w14:val="tx1"/>
            </w14:solidFill>
          </w14:textFill>
        </w:rPr>
      </w:pPr>
      <w:bookmarkStart w:id="155" w:name="_Toc25708"/>
      <w:r>
        <w:rPr>
          <w:rFonts w:hint="eastAsia" w:ascii="黑体" w:hAnsi="黑体" w:eastAsia="黑体"/>
          <w:b w:val="0"/>
          <w:bCs w:val="0"/>
          <w:color w:val="000000" w:themeColor="text1"/>
          <w:sz w:val="28"/>
          <w:szCs w:val="28"/>
          <w14:textFill>
            <w14:solidFill>
              <w14:schemeClr w14:val="tx1"/>
            </w14:solidFill>
          </w14:textFill>
        </w:rPr>
        <w:t>三、优化基础设施，提升高质量赶超发展承载力</w:t>
      </w:r>
      <w:bookmarkEnd w:id="152"/>
      <w:bookmarkEnd w:id="153"/>
      <w:bookmarkEnd w:id="154"/>
      <w:bookmarkEnd w:id="155"/>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坚持“线上线下结合、技术与资源共聚、建设与运营一体”，采取“政府主导、企业运作、合作共赢”市场化模式，大力推进“两新一重”，加快新型基础设施建设与传统基础设施建设改造升级。</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outlineLvl w:val="2"/>
        <w:rPr>
          <w:rFonts w:ascii="楷体_GB2312" w:hAnsi="楷体_GB2312" w:eastAsia="楷体_GB2312" w:cs="楷体_GB2312"/>
          <w:b w:val="0"/>
          <w:bCs/>
          <w:color w:val="000000" w:themeColor="text1"/>
          <w:kern w:val="0"/>
          <w:sz w:val="28"/>
          <w:szCs w:val="28"/>
          <w14:textFill>
            <w14:solidFill>
              <w14:schemeClr w14:val="tx1"/>
            </w14:solidFill>
          </w14:textFill>
        </w:rPr>
      </w:pPr>
      <w:bookmarkStart w:id="156" w:name="_Toc9509"/>
      <w:r>
        <w:rPr>
          <w:rFonts w:hint="eastAsia" w:ascii="楷体_GB2312" w:hAnsi="楷体_GB2312" w:eastAsia="楷体_GB2312" w:cs="楷体_GB2312"/>
          <w:b w:val="0"/>
          <w:bCs/>
          <w:color w:val="000000" w:themeColor="text1"/>
          <w:kern w:val="0"/>
          <w:sz w:val="28"/>
          <w:szCs w:val="28"/>
          <w14:textFill>
            <w14:solidFill>
              <w14:schemeClr w14:val="tx1"/>
            </w14:solidFill>
          </w14:textFill>
        </w:rPr>
        <w:t>（一）统筹推进新型基础设施建设</w:t>
      </w:r>
      <w:bookmarkEnd w:id="156"/>
    </w:p>
    <w:p>
      <w:pPr>
        <w:pStyle w:val="2"/>
        <w:keepNext w:val="0"/>
        <w:keepLines w:val="0"/>
        <w:pageBreakBefore w:val="0"/>
        <w:widowControl w:val="0"/>
        <w:kinsoku/>
        <w:wordWrap/>
        <w:overflowPunct/>
        <w:topLinePunct w:val="0"/>
        <w:autoSpaceDE/>
        <w:autoSpaceDN/>
        <w:bidi w:val="0"/>
        <w:spacing w:after="0" w:line="560" w:lineRule="exact"/>
        <w:ind w:firstLine="560" w:firstLineChars="200"/>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加快完善现代基础设施体系，着力建设信息基础设施，对接省市部署，围</w:t>
      </w:r>
      <w:r>
        <w:rPr>
          <w:rFonts w:hint="eastAsia" w:hAnsi="Times New Roman" w:cs="宋体"/>
          <w:color w:val="000000" w:themeColor="text1"/>
          <w:kern w:val="0"/>
          <w:sz w:val="28"/>
          <w:szCs w:val="28"/>
          <w14:textFill>
            <w14:solidFill>
              <w14:schemeClr w14:val="tx1"/>
            </w14:solidFill>
          </w14:textFill>
        </w:rPr>
        <w:t>绕5G网络、千兆光纤、IPv6等领</w:t>
      </w:r>
      <w:r>
        <w:rPr>
          <w:rFonts w:ascii="Times New Roman" w:hAnsi="Times New Roman" w:cs="Times New Roman"/>
          <w:color w:val="000000" w:themeColor="text1"/>
          <w:sz w:val="28"/>
          <w:szCs w:val="28"/>
          <w14:textFill>
            <w14:solidFill>
              <w14:schemeClr w14:val="tx1"/>
            </w14:solidFill>
          </w14:textFill>
        </w:rPr>
        <w:t>域，提升网络基础设施容量和多业务承载能力。加快信息化重点项目有效应用，加快智慧城市、智慧社区、智慧乡村和电子政务系统建设，</w:t>
      </w:r>
      <w:r>
        <w:rPr>
          <w:rFonts w:hint="eastAsia" w:hAnsi="Times New Roman" w:cs="宋体"/>
          <w:color w:val="000000" w:themeColor="text1"/>
          <w:kern w:val="0"/>
          <w:sz w:val="28"/>
          <w:szCs w:val="28"/>
          <w14:textFill>
            <w14:solidFill>
              <w14:schemeClr w14:val="tx1"/>
            </w14:solidFill>
          </w14:textFill>
        </w:rPr>
        <w:t>重点</w:t>
      </w:r>
      <w:r>
        <w:rPr>
          <w:rFonts w:ascii="Times New Roman" w:hAnsi="Times New Roman" w:cs="Times New Roman"/>
          <w:color w:val="000000" w:themeColor="text1"/>
          <w:sz w:val="28"/>
          <w:szCs w:val="28"/>
          <w14:textFill>
            <w14:solidFill>
              <w14:schemeClr w14:val="tx1"/>
            </w14:solidFill>
          </w14:textFill>
        </w:rPr>
        <w:t>支持传统产业依托工业互联网、大数据、人工智能等开展流程再造，实现智能制造、转型升级。</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outlineLvl w:val="2"/>
        <w:rPr>
          <w:rFonts w:ascii="楷体_GB2312" w:hAnsi="楷体_GB2312" w:eastAsia="楷体_GB2312" w:cs="楷体_GB2312"/>
          <w:b w:val="0"/>
          <w:bCs/>
          <w:color w:val="000000" w:themeColor="text1"/>
          <w:kern w:val="0"/>
          <w:sz w:val="28"/>
          <w:szCs w:val="28"/>
          <w14:textFill>
            <w14:solidFill>
              <w14:schemeClr w14:val="tx1"/>
            </w14:solidFill>
          </w14:textFill>
        </w:rPr>
      </w:pPr>
      <w:bookmarkStart w:id="157" w:name="_Toc3135"/>
      <w:r>
        <w:rPr>
          <w:rFonts w:hint="eastAsia" w:ascii="楷体_GB2312" w:hAnsi="楷体_GB2312" w:eastAsia="楷体_GB2312" w:cs="楷体_GB2312"/>
          <w:b w:val="0"/>
          <w:bCs/>
          <w:color w:val="000000" w:themeColor="text1"/>
          <w:kern w:val="0"/>
          <w:sz w:val="28"/>
          <w:szCs w:val="28"/>
          <w14:textFill>
            <w14:solidFill>
              <w14:schemeClr w14:val="tx1"/>
            </w14:solidFill>
          </w14:textFill>
        </w:rPr>
        <w:t>（二）构建现代化综合交通体系</w:t>
      </w:r>
      <w:bookmarkEnd w:id="157"/>
    </w:p>
    <w:p>
      <w:pPr>
        <w:pStyle w:val="2"/>
        <w:keepNext w:val="0"/>
        <w:keepLines w:val="0"/>
        <w:pageBreakBefore w:val="0"/>
        <w:widowControl w:val="0"/>
        <w:kinsoku/>
        <w:wordWrap/>
        <w:overflowPunct/>
        <w:topLinePunct w:val="0"/>
        <w:autoSpaceDE/>
        <w:autoSpaceDN/>
        <w:bidi w:val="0"/>
        <w:spacing w:after="0" w:line="560" w:lineRule="exact"/>
        <w:ind w:firstLine="560" w:firstLineChars="200"/>
        <w:textAlignment w:val="auto"/>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着力构建“西联东出、南北贯通”的对外交通体系。依托雄商高铁，并入京津</w:t>
      </w:r>
      <w:r>
        <w:rPr>
          <w:rFonts w:hint="eastAsia" w:hAnsi="Times New Roman" w:cs="宋体"/>
          <w:color w:val="000000" w:themeColor="text1"/>
          <w:kern w:val="0"/>
          <w:sz w:val="28"/>
          <w:szCs w:val="28"/>
          <w14:textFill>
            <w14:solidFill>
              <w14:schemeClr w14:val="tx1"/>
            </w14:solidFill>
          </w14:textFill>
        </w:rPr>
        <w:t>雄1.5小时生活圈</w:t>
      </w:r>
      <w:r>
        <w:rPr>
          <w:rFonts w:hint="eastAsia" w:ascii="Times New Roman" w:hAnsi="Times New Roman" w:cs="Times New Roman"/>
          <w:color w:val="000000" w:themeColor="text1"/>
          <w:sz w:val="28"/>
          <w:szCs w:val="28"/>
          <w14:textFill>
            <w14:solidFill>
              <w14:schemeClr w14:val="tx1"/>
            </w14:solidFill>
          </w14:textFill>
        </w:rPr>
        <w:t>；积极对接邢济客专，打通冀鲁南部通道。</w:t>
      </w:r>
    </w:p>
    <w:p>
      <w:pPr>
        <w:keepNext w:val="0"/>
        <w:keepLines w:val="0"/>
        <w:pageBreakBefore w:val="0"/>
        <w:widowControl w:val="0"/>
        <w:kinsoku/>
        <w:wordWrap/>
        <w:overflowPunct/>
        <w:topLinePunct w:val="0"/>
        <w:autoSpaceDE/>
        <w:autoSpaceDN/>
        <w:bidi w:val="0"/>
        <w:spacing w:line="560" w:lineRule="exact"/>
        <w:ind w:firstLine="562"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加快建设雄商高铁清河西站</w:t>
      </w:r>
      <w:r>
        <w:rPr>
          <w:rFonts w:hint="eastAsia" w:ascii="仿宋_GB2312" w:hAnsi="仿宋_GB2312" w:eastAsia="仿宋_GB2312" w:cs="仿宋_GB2312"/>
          <w:color w:val="000000" w:themeColor="text1"/>
          <w:sz w:val="28"/>
          <w:szCs w:val="28"/>
          <w14:textFill>
            <w14:solidFill>
              <w14:schemeClr w14:val="tx1"/>
            </w14:solidFill>
          </w14:textFill>
        </w:rPr>
        <w:t xml:space="preserve">。加快推进高铁片区建设，按照中交通、南会展、东文旅、北康养、西科创五个功能区的规划思路，重点建设国际会展中心、湿地公园、古城风情街、总部办公基地、文创酒店等设施。完善高铁片区路网，建设汽车客运枢纽，谋划实施清河西站至大广高速路口城市快速路项目，提升高铁片区聚集吸引能力和对外辐射能力。  </w:t>
      </w:r>
    </w:p>
    <w:p>
      <w:pPr>
        <w:keepNext w:val="0"/>
        <w:keepLines w:val="0"/>
        <w:pageBreakBefore w:val="0"/>
        <w:widowControl w:val="0"/>
        <w:kinsoku/>
        <w:wordWrap/>
        <w:overflowPunct/>
        <w:topLinePunct w:val="0"/>
        <w:autoSpaceDE/>
        <w:autoSpaceDN/>
        <w:bidi w:val="0"/>
        <w:spacing w:line="560" w:lineRule="exact"/>
        <w:ind w:firstLine="562"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完善公路交通路网</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b/>
          <w:bCs/>
          <w:color w:val="000000" w:themeColor="text1"/>
          <w:sz w:val="28"/>
          <w:szCs w:val="28"/>
          <w14:textFill>
            <w14:solidFill>
              <w14:schemeClr w14:val="tx1"/>
            </w14:solidFill>
          </w14:textFill>
        </w:rPr>
        <w:t>一是构建县域外联大通道，提升交通便捷度。</w:t>
      </w:r>
      <w:r>
        <w:rPr>
          <w:rFonts w:hint="eastAsia" w:ascii="仿宋_GB2312" w:hAnsi="仿宋_GB2312" w:eastAsia="仿宋_GB2312" w:cs="仿宋_GB2312"/>
          <w:color w:val="000000" w:themeColor="text1"/>
          <w:sz w:val="28"/>
          <w:szCs w:val="28"/>
          <w14:textFill>
            <w14:solidFill>
              <w14:schemeClr w14:val="tx1"/>
            </w14:solidFill>
          </w14:textFill>
        </w:rPr>
        <w:t>提升高速公路通达度，积极争取青银高速清河匝道收费站升级和增设青银高速清河东互通项目；谋划实施清临高速支线和清河南、清河西出入口项目；</w:t>
      </w:r>
      <w:r>
        <w:rPr>
          <w:rFonts w:hint="eastAsia" w:ascii="仿宋_GB2312" w:hAnsi="仿宋" w:eastAsia="仿宋_GB2312" w:cs="宋体"/>
          <w:color w:val="000000" w:themeColor="text1"/>
          <w:kern w:val="0"/>
          <w:sz w:val="28"/>
          <w:szCs w:val="28"/>
          <w14:textFill>
            <w14:solidFill>
              <w14:schemeClr w14:val="tx1"/>
            </w14:solidFill>
          </w14:textFill>
        </w:rPr>
        <w:t>谋划建设邢清高速，强化与邢台市区的连接</w:t>
      </w:r>
      <w:r>
        <w:rPr>
          <w:rFonts w:hint="eastAsia" w:ascii="仿宋_GB2312" w:hAnsi="仿宋_GB2312" w:eastAsia="仿宋_GB2312" w:cs="仿宋_GB2312"/>
          <w:color w:val="000000" w:themeColor="text1"/>
          <w:sz w:val="28"/>
          <w:szCs w:val="28"/>
          <w14:textFill>
            <w14:solidFill>
              <w14:schemeClr w14:val="tx1"/>
            </w14:solidFill>
          </w14:textFill>
        </w:rPr>
        <w:t>。推进县城外环线路建设，提高通行效率，实施S224省道清河绕城段项目，建成县城南环；谋划S224省道东移项目，建设县城东环。</w:t>
      </w:r>
      <w:r>
        <w:rPr>
          <w:rFonts w:hint="eastAsia" w:ascii="仿宋_GB2312" w:hAnsi="仿宋_GB2312" w:eastAsia="仿宋_GB2312" w:cs="仿宋_GB2312"/>
          <w:b/>
          <w:bCs/>
          <w:color w:val="000000" w:themeColor="text1"/>
          <w:sz w:val="28"/>
          <w:szCs w:val="28"/>
          <w14:textFill>
            <w14:solidFill>
              <w14:schemeClr w14:val="tx1"/>
            </w14:solidFill>
          </w14:textFill>
        </w:rPr>
        <w:t>二是推动农村公路提质升级。</w:t>
      </w:r>
      <w:r>
        <w:rPr>
          <w:rFonts w:hint="eastAsia" w:ascii="仿宋_GB2312" w:hAnsi="仿宋_GB2312" w:eastAsia="仿宋_GB2312" w:cs="仿宋_GB2312"/>
          <w:color w:val="000000" w:themeColor="text1"/>
          <w:sz w:val="28"/>
          <w:szCs w:val="28"/>
          <w14:textFill>
            <w14:solidFill>
              <w14:schemeClr w14:val="tx1"/>
            </w14:solidFill>
          </w14:textFill>
        </w:rPr>
        <w:t>对接美丽乡村建设、农村四好公路、人居环境改善等行动，打造系列产业路、景观路、生态路和文化路。</w:t>
      </w:r>
    </w:p>
    <w:p>
      <w:pPr>
        <w:keepNext w:val="0"/>
        <w:keepLines w:val="0"/>
        <w:pageBreakBefore w:val="0"/>
        <w:widowControl w:val="0"/>
        <w:kinsoku/>
        <w:wordWrap/>
        <w:overflowPunct/>
        <w:topLinePunct w:val="0"/>
        <w:autoSpaceDE/>
        <w:autoSpaceDN/>
        <w:bidi w:val="0"/>
        <w:spacing w:line="560" w:lineRule="exact"/>
        <w:ind w:firstLine="562" w:firstLineChars="200"/>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做好清河通用机场筹建工作。</w:t>
      </w:r>
      <w:r>
        <w:rPr>
          <w:rFonts w:hint="eastAsia" w:ascii="仿宋_GB2312" w:hAnsi="仿宋_GB2312" w:eastAsia="仿宋_GB2312" w:cs="仿宋_GB2312"/>
          <w:color w:val="000000" w:themeColor="text1"/>
          <w:sz w:val="28"/>
          <w:szCs w:val="28"/>
          <w14:textFill>
            <w14:solidFill>
              <w14:schemeClr w14:val="tx1"/>
            </w14:solidFill>
          </w14:textFill>
        </w:rPr>
        <w:t>积极落实</w:t>
      </w:r>
      <w:r>
        <w:rPr>
          <w:rFonts w:hint="eastAsia" w:ascii="仿宋_GB2312" w:hAnsi="仿宋" w:eastAsia="仿宋_GB2312" w:cs="仿宋_GB2312"/>
          <w:color w:val="000000" w:themeColor="text1"/>
          <w:sz w:val="28"/>
          <w:szCs w:val="28"/>
          <w14:textFill>
            <w14:solidFill>
              <w14:schemeClr w14:val="tx1"/>
            </w14:solidFill>
          </w14:textFill>
        </w:rPr>
        <w:t>《河北省民航“十三五”发展规划》，围绕建设冀东南通用机场群重要支点，超前谋划，做好清河通用机场筹建工作，</w:t>
      </w:r>
      <w:r>
        <w:rPr>
          <w:rFonts w:hint="eastAsia" w:ascii="仿宋_GB2312" w:hAnsi="仿宋_GB2312" w:eastAsia="仿宋_GB2312" w:cs="仿宋_GB2312"/>
          <w:color w:val="000000" w:themeColor="text1"/>
          <w:sz w:val="28"/>
          <w:szCs w:val="28"/>
          <w14:textFill>
            <w14:solidFill>
              <w14:schemeClr w14:val="tx1"/>
            </w14:solidFill>
          </w14:textFill>
        </w:rPr>
        <w:t>稳步推进机场建设规划、招商选资、项目建设等相关工作。</w:t>
      </w:r>
      <w:bookmarkStart w:id="158" w:name="_Toc46068278"/>
    </w:p>
    <w:p>
      <w:pPr>
        <w:keepNext w:val="0"/>
        <w:keepLines w:val="0"/>
        <w:pageBreakBefore w:val="0"/>
        <w:widowControl w:val="0"/>
        <w:kinsoku/>
        <w:wordWrap/>
        <w:overflowPunct/>
        <w:topLinePunct w:val="0"/>
        <w:autoSpaceDE/>
        <w:autoSpaceDN/>
        <w:bidi w:val="0"/>
        <w:spacing w:line="560" w:lineRule="exact"/>
        <w:ind w:firstLine="560" w:firstLineChars="200"/>
        <w:textAlignment w:val="auto"/>
        <w:outlineLvl w:val="2"/>
        <w:rPr>
          <w:rFonts w:ascii="楷体_GB2312" w:hAnsi="楷体_GB2312" w:eastAsia="楷体_GB2312" w:cs="楷体_GB2312"/>
          <w:b w:val="0"/>
          <w:bCs/>
          <w:color w:val="000000" w:themeColor="text1"/>
          <w:kern w:val="0"/>
          <w:sz w:val="28"/>
          <w:szCs w:val="28"/>
          <w14:textFill>
            <w14:solidFill>
              <w14:schemeClr w14:val="tx1"/>
            </w14:solidFill>
          </w14:textFill>
        </w:rPr>
      </w:pPr>
      <w:bookmarkStart w:id="159" w:name="_Toc30158"/>
      <w:r>
        <w:rPr>
          <w:rFonts w:hint="eastAsia" w:ascii="楷体_GB2312" w:hAnsi="楷体_GB2312" w:eastAsia="楷体_GB2312" w:cs="楷体_GB2312"/>
          <w:b w:val="0"/>
          <w:bCs/>
          <w:color w:val="000000" w:themeColor="text1"/>
          <w:kern w:val="0"/>
          <w:sz w:val="28"/>
          <w:szCs w:val="28"/>
          <w14:textFill>
            <w14:solidFill>
              <w14:schemeClr w14:val="tx1"/>
            </w14:solidFill>
          </w14:textFill>
        </w:rPr>
        <w:t>（三）加强水利基础设施建设</w:t>
      </w:r>
      <w:bookmarkEnd w:id="159"/>
    </w:p>
    <w:p>
      <w:pPr>
        <w:pStyle w:val="2"/>
        <w:keepNext w:val="0"/>
        <w:keepLines w:val="0"/>
        <w:pageBreakBefore w:val="0"/>
        <w:widowControl w:val="0"/>
        <w:kinsoku/>
        <w:wordWrap/>
        <w:overflowPunct/>
        <w:topLinePunct w:val="0"/>
        <w:autoSpaceDE/>
        <w:autoSpaceDN/>
        <w:bidi w:val="0"/>
        <w:adjustRightInd/>
        <w:snapToGrid/>
        <w:spacing w:after="0" w:line="560" w:lineRule="exact"/>
        <w:ind w:firstLine="562" w:firstLineChars="200"/>
        <w:textAlignment w:val="auto"/>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加大地下水超采综合治理</w:t>
      </w:r>
      <w:r>
        <w:rPr>
          <w:rFonts w:hint="eastAsia" w:ascii="Times New Roman" w:hAnsi="Times New Roman" w:cs="Times New Roman"/>
          <w:color w:val="000000" w:themeColor="text1"/>
          <w:sz w:val="28"/>
          <w:szCs w:val="28"/>
          <w14:textFill>
            <w14:solidFill>
              <w14:schemeClr w14:val="tx1"/>
            </w14:solidFill>
          </w14:textFill>
        </w:rPr>
        <w:t>。严格落实《河北省深入开展地下水超采综合治理工作方案》，多措并举，重点实施</w:t>
      </w:r>
      <w:r>
        <w:rPr>
          <w:rFonts w:ascii="Times New Roman" w:hAnsi="Times New Roman" w:cs="Times New Roman"/>
          <w:color w:val="000000" w:themeColor="text1"/>
          <w:sz w:val="28"/>
          <w:szCs w:val="28"/>
          <w14:textFill>
            <w14:solidFill>
              <w14:schemeClr w14:val="tx1"/>
            </w14:solidFill>
          </w14:textFill>
        </w:rPr>
        <w:t>全社会节水</w:t>
      </w:r>
      <w:r>
        <w:rPr>
          <w:rFonts w:hint="eastAsia" w:ascii="Times New Roman" w:hAnsi="Times New Roman" w:cs="Times New Roman"/>
          <w:color w:val="000000" w:themeColor="text1"/>
          <w:sz w:val="28"/>
          <w:szCs w:val="28"/>
          <w14:textFill>
            <w14:solidFill>
              <w14:schemeClr w14:val="tx1"/>
            </w14:solidFill>
          </w14:textFill>
        </w:rPr>
        <w:t>行动、</w:t>
      </w:r>
      <w:r>
        <w:rPr>
          <w:rFonts w:ascii="Times New Roman" w:hAnsi="Times New Roman" w:cs="Times New Roman"/>
          <w:color w:val="000000" w:themeColor="text1"/>
          <w:sz w:val="28"/>
          <w:szCs w:val="28"/>
          <w14:textFill>
            <w14:solidFill>
              <w14:schemeClr w14:val="tx1"/>
            </w14:solidFill>
          </w14:textFill>
        </w:rPr>
        <w:t>引足用好外调水</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调整种植结构</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河湖清洁补水</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河湖库塘蓄水</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地下水严格管控</w:t>
      </w:r>
      <w:r>
        <w:rPr>
          <w:rFonts w:hint="eastAsia" w:ascii="Times New Roman" w:hAnsi="Times New Roman" w:cs="Times New Roman"/>
          <w:color w:val="000000" w:themeColor="text1"/>
          <w:sz w:val="28"/>
          <w:szCs w:val="28"/>
          <w14:textFill>
            <w14:solidFill>
              <w14:schemeClr w14:val="tx1"/>
            </w14:solidFill>
          </w14:textFill>
        </w:rPr>
        <w:t>六大重点行动，“十四五”末，实现县域地下水采补平衡，地下水位全面回升，高标准完成省市下达的</w:t>
      </w:r>
      <w:r>
        <w:rPr>
          <w:rFonts w:ascii="Times New Roman" w:hAnsi="Times New Roman" w:cs="Times New Roman"/>
          <w:color w:val="000000" w:themeColor="text1"/>
          <w:sz w:val="28"/>
          <w:szCs w:val="28"/>
          <w14:textFill>
            <w14:solidFill>
              <w14:schemeClr w14:val="tx1"/>
            </w14:solidFill>
          </w14:textFill>
        </w:rPr>
        <w:t>地下水超采综合治理目标</w:t>
      </w:r>
      <w:r>
        <w:rPr>
          <w:rFonts w:hint="eastAsia" w:ascii="Times New Roman" w:hAnsi="Times New Roman" w:cs="Times New Roman"/>
          <w:color w:val="000000" w:themeColor="text1"/>
          <w:sz w:val="28"/>
          <w:szCs w:val="28"/>
          <w14:textFill>
            <w14:solidFill>
              <w14:schemeClr w14:val="tx1"/>
            </w14:solidFill>
          </w14:textFill>
        </w:rPr>
        <w:t>任务。</w:t>
      </w:r>
      <w:r>
        <w:rPr>
          <w:rFonts w:hint="eastAsia" w:ascii="Times New Roman" w:hAnsi="Times New Roman" w:cs="Times New Roman"/>
          <w:b/>
          <w:bCs/>
          <w:color w:val="000000" w:themeColor="text1"/>
          <w:sz w:val="28"/>
          <w:szCs w:val="28"/>
          <w14:textFill>
            <w14:solidFill>
              <w14:schemeClr w14:val="tx1"/>
            </w14:solidFill>
          </w14:textFill>
        </w:rPr>
        <w:t>做好河道坑塘治理。</w:t>
      </w:r>
      <w:r>
        <w:rPr>
          <w:rFonts w:hint="eastAsia" w:ascii="Times New Roman" w:hAnsi="Times New Roman" w:cs="Times New Roman"/>
          <w:color w:val="000000" w:themeColor="text1"/>
          <w:sz w:val="28"/>
          <w:szCs w:val="28"/>
          <w14:textFill>
            <w14:solidFill>
              <w14:schemeClr w14:val="tx1"/>
            </w14:solidFill>
          </w14:textFill>
        </w:rPr>
        <w:t>重点治理一批骨干河道，加大对河道水系连通工程的建设，做好对全县桥闸涵、泵站工程进行维修改造，重点建设一批时间快、效益好的储蓄水工程。</w:t>
      </w:r>
      <w:r>
        <w:rPr>
          <w:rFonts w:ascii="Times New Roman" w:hAnsi="Times New Roman" w:cs="Times New Roman"/>
          <w:b/>
          <w:bCs/>
          <w:color w:val="000000" w:themeColor="text1"/>
          <w:sz w:val="28"/>
          <w:szCs w:val="28"/>
          <w14:textFill>
            <w14:solidFill>
              <w14:schemeClr w14:val="tx1"/>
            </w14:solidFill>
          </w14:textFill>
        </w:rPr>
        <w:t>确保城乡供水安全</w:t>
      </w:r>
      <w:r>
        <w:rPr>
          <w:rFonts w:hint="eastAsia" w:ascii="Times New Roman" w:hAnsi="Times New Roman" w:cs="Times New Roman"/>
          <w:b/>
          <w:bCs/>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依托长江水直供项目，</w:t>
      </w:r>
      <w:r>
        <w:rPr>
          <w:rFonts w:ascii="Times New Roman" w:hAnsi="Times New Roman" w:cs="Times New Roman"/>
          <w:color w:val="000000" w:themeColor="text1"/>
          <w:sz w:val="28"/>
          <w:szCs w:val="28"/>
          <w14:textFill>
            <w14:solidFill>
              <w14:schemeClr w14:val="tx1"/>
            </w14:solidFill>
          </w14:textFill>
        </w:rPr>
        <w:t>实施农村生活用水置换和农村安全饮水巩固提升工程，加快完成管道铺设、供水站改建、村内管网改造并网等。构筑城乡一体的联合供水系</w:t>
      </w:r>
      <w:r>
        <w:rPr>
          <w:rFonts w:hint="eastAsia" w:ascii="Times New Roman" w:hAnsi="Times New Roman" w:cs="Times New Roman"/>
          <w:color w:val="000000" w:themeColor="text1"/>
          <w:sz w:val="28"/>
          <w:szCs w:val="28"/>
          <w14:textFill>
            <w14:solidFill>
              <w14:schemeClr w14:val="tx1"/>
            </w14:solidFill>
          </w14:textFill>
        </w:rPr>
        <w:t>统，清河全域供水由中心城区供水系统统一供应。</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ascii="楷体_GB2312" w:hAnsi="楷体_GB2312" w:eastAsia="楷体_GB2312" w:cs="楷体_GB2312"/>
          <w:b w:val="0"/>
          <w:bCs/>
          <w:color w:val="000000" w:themeColor="text1"/>
          <w:kern w:val="0"/>
          <w:sz w:val="28"/>
          <w:szCs w:val="28"/>
          <w14:textFill>
            <w14:solidFill>
              <w14:schemeClr w14:val="tx1"/>
            </w14:solidFill>
          </w14:textFill>
        </w:rPr>
      </w:pPr>
      <w:bookmarkStart w:id="160" w:name="_Toc19581"/>
      <w:r>
        <w:rPr>
          <w:rFonts w:hint="eastAsia" w:ascii="楷体_GB2312" w:hAnsi="楷体_GB2312" w:eastAsia="楷体_GB2312" w:cs="楷体_GB2312"/>
          <w:b w:val="0"/>
          <w:bCs/>
          <w:color w:val="000000" w:themeColor="text1"/>
          <w:kern w:val="0"/>
          <w:sz w:val="28"/>
          <w:szCs w:val="28"/>
          <w14:textFill>
            <w14:solidFill>
              <w14:schemeClr w14:val="tx1"/>
            </w14:solidFill>
          </w14:textFill>
        </w:rPr>
        <w:t>（四）优化能源供应保障体系</w:t>
      </w:r>
      <w:bookmarkEnd w:id="158"/>
      <w:bookmarkEnd w:id="160"/>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构建供需平衡、结构多元、清洁利用、智能高效的现代能源体系。</w:t>
      </w:r>
      <w:r>
        <w:rPr>
          <w:rFonts w:ascii="Times New Roman" w:hAnsi="Times New Roman" w:eastAsia="仿宋_GB2312" w:cs="Times New Roman"/>
          <w:b/>
          <w:bCs/>
          <w:color w:val="000000" w:themeColor="text1"/>
          <w:sz w:val="28"/>
          <w:szCs w:val="28"/>
          <w14:textFill>
            <w14:solidFill>
              <w14:schemeClr w14:val="tx1"/>
            </w14:solidFill>
          </w14:textFill>
        </w:rPr>
        <w:t>提升电力保障能力</w:t>
      </w:r>
      <w:r>
        <w:rPr>
          <w:rFonts w:hint="eastAsia" w:ascii="Times New Roman" w:hAnsi="Times New Roman" w:eastAsia="仿宋_GB2312" w:cs="Times New Roman"/>
          <w:b/>
          <w:bCs/>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高标准推进区域电网和城市电网改造升级，</w:t>
      </w:r>
      <w:r>
        <w:rPr>
          <w:rFonts w:hint="eastAsia" w:ascii="仿宋_GB2312" w:hAnsi="仿宋_GB2312" w:eastAsia="仿宋_GB2312" w:cs="仿宋_GB2312"/>
          <w:color w:val="000000" w:themeColor="text1"/>
          <w:sz w:val="28"/>
          <w:szCs w:val="28"/>
          <w14:textFill>
            <w14:solidFill>
              <w14:schemeClr w14:val="tx1"/>
            </w14:solidFill>
          </w14:textFill>
        </w:rPr>
        <w:t>加快清河东、坝营等输变电工程建设，完成汽摩园110千伏输变电工程建设，扩建闽江110千伏变电站，</w:t>
      </w:r>
      <w:r>
        <w:rPr>
          <w:rFonts w:ascii="Times New Roman" w:hAnsi="Times New Roman" w:eastAsia="仿宋_GB2312" w:cs="Times New Roman"/>
          <w:color w:val="000000" w:themeColor="text1"/>
          <w:sz w:val="28"/>
          <w:szCs w:val="28"/>
          <w14:textFill>
            <w14:solidFill>
              <w14:schemeClr w14:val="tx1"/>
            </w14:solidFill>
          </w14:textFill>
        </w:rPr>
        <w:t>完善农村电网，加快新能源汽车充电设施布局。</w:t>
      </w:r>
      <w:r>
        <w:rPr>
          <w:rFonts w:hint="eastAsia" w:ascii="仿宋_GB2312" w:hAnsi="仿宋" w:eastAsia="仿宋_GB2312" w:cs="宋体"/>
          <w:color w:val="000000" w:themeColor="text1"/>
          <w:kern w:val="0"/>
          <w:sz w:val="28"/>
          <w:szCs w:val="28"/>
          <w14:textFill>
            <w14:solidFill>
              <w14:schemeClr w14:val="tx1"/>
            </w14:solidFill>
          </w14:textFill>
        </w:rPr>
        <w:t>建设健全智能电网，满足新能源、分布式电源、电动汽车等多元化用电需求，提高安全运行水平和风险应对能力。</w:t>
      </w:r>
      <w:r>
        <w:rPr>
          <w:rFonts w:ascii="Times New Roman" w:hAnsi="Times New Roman" w:eastAsia="仿宋_GB2312" w:cs="Times New Roman"/>
          <w:b/>
          <w:bCs/>
          <w:color w:val="000000" w:themeColor="text1"/>
          <w:sz w:val="28"/>
          <w:szCs w:val="28"/>
          <w14:textFill>
            <w14:solidFill>
              <w14:schemeClr w14:val="tx1"/>
            </w14:solidFill>
          </w14:textFill>
        </w:rPr>
        <w:t>提升天然气保障能力</w:t>
      </w:r>
      <w:r>
        <w:rPr>
          <w:rFonts w:hint="eastAsia" w:ascii="Times New Roman" w:hAnsi="Times New Roman" w:eastAsia="仿宋_GB2312" w:cs="Times New Roman"/>
          <w:b/>
          <w:bCs/>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深入落实天然气管网“县县通”工程，</w:t>
      </w:r>
      <w:r>
        <w:rPr>
          <w:rFonts w:hint="eastAsia" w:ascii="仿宋_GB2312" w:hAnsi="仿宋" w:eastAsia="仿宋_GB2312" w:cs="宋体"/>
          <w:color w:val="000000" w:themeColor="text1"/>
          <w:kern w:val="0"/>
          <w:sz w:val="28"/>
          <w:szCs w:val="28"/>
          <w14:textFill>
            <w14:solidFill>
              <w14:schemeClr w14:val="tx1"/>
            </w14:solidFill>
          </w14:textFill>
        </w:rPr>
        <w:t>完善天然气输配气管网、配套门站、储气调峰设施和加气站，推进一批液化天然气储备中心项目建设，提高供气稳定性和可靠性。</w:t>
      </w:r>
      <w:r>
        <w:rPr>
          <w:rFonts w:hint="eastAsia" w:ascii="Times New Roman" w:hAnsi="Times New Roman" w:eastAsia="仿宋_GB2312" w:cs="Times New Roman"/>
          <w:b/>
          <w:bCs/>
          <w:color w:val="000000" w:themeColor="text1"/>
          <w:sz w:val="28"/>
          <w:szCs w:val="28"/>
          <w:lang w:eastAsia="zh-CN"/>
          <w14:textFill>
            <w14:solidFill>
              <w14:schemeClr w14:val="tx1"/>
            </w14:solidFill>
          </w14:textFill>
        </w:rPr>
        <w:t>提升</w:t>
      </w:r>
      <w:r>
        <w:rPr>
          <w:rFonts w:hint="eastAsia" w:ascii="Times New Roman" w:hAnsi="Times New Roman" w:eastAsia="仿宋_GB2312" w:cs="Times New Roman"/>
          <w:b/>
          <w:bCs/>
          <w:color w:val="000000" w:themeColor="text1"/>
          <w:sz w:val="28"/>
          <w:szCs w:val="28"/>
          <w14:textFill>
            <w14:solidFill>
              <w14:schemeClr w14:val="tx1"/>
            </w14:solidFill>
          </w14:textFill>
        </w:rPr>
        <w:t>清洁能源生产能力。</w:t>
      </w:r>
      <w:r>
        <w:rPr>
          <w:rFonts w:hint="eastAsia" w:ascii="Times New Roman" w:hAnsi="Times New Roman" w:eastAsia="仿宋_GB2312" w:cs="Times New Roman"/>
          <w:color w:val="000000" w:themeColor="text1"/>
          <w:sz w:val="28"/>
          <w:szCs w:val="28"/>
          <w14:textFill>
            <w14:solidFill>
              <w14:schemeClr w14:val="tx1"/>
            </w14:solidFill>
          </w14:textFill>
        </w:rPr>
        <w:t>因地制宜加强农村可再生能源多样化开发利用，积极推进农村分布式能源发展，支持光伏、沼气、生物质热电联产等项目建设。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ascii="楷体_GB2312" w:hAnsi="楷体_GB2312" w:eastAsia="楷体_GB2312" w:cs="楷体_GB2312"/>
          <w:b w:val="0"/>
          <w:bCs/>
          <w:color w:val="000000" w:themeColor="text1"/>
          <w:kern w:val="0"/>
          <w:sz w:val="28"/>
          <w:szCs w:val="28"/>
          <w14:textFill>
            <w14:solidFill>
              <w14:schemeClr w14:val="tx1"/>
            </w14:solidFill>
          </w14:textFill>
        </w:rPr>
      </w:pPr>
      <w:bookmarkStart w:id="161" w:name="_Toc32390"/>
      <w:r>
        <w:rPr>
          <w:rFonts w:hint="eastAsia" w:ascii="楷体_GB2312" w:hAnsi="楷体_GB2312" w:eastAsia="楷体_GB2312" w:cs="楷体_GB2312"/>
          <w:b w:val="0"/>
          <w:bCs/>
          <w:color w:val="000000" w:themeColor="text1"/>
          <w:kern w:val="0"/>
          <w:sz w:val="28"/>
          <w:szCs w:val="28"/>
          <w14:textFill>
            <w14:solidFill>
              <w14:schemeClr w14:val="tx1"/>
            </w14:solidFill>
          </w14:textFill>
        </w:rPr>
        <w:t>（五）加快减灾防灾设施建设</w:t>
      </w:r>
      <w:bookmarkEnd w:id="161"/>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围绕地震地质及气象灾害、人防及应急保障设施建设，加强灾害监测站、检测站、测报点等基层网络建设。</w:t>
      </w:r>
      <w:r>
        <w:rPr>
          <w:rFonts w:hint="eastAsia" w:ascii="仿宋_GB2312" w:hAnsi="仿宋" w:eastAsia="仿宋_GB2312" w:cs="宋体"/>
          <w:color w:val="000000" w:themeColor="text1"/>
          <w:kern w:val="0"/>
          <w:sz w:val="28"/>
          <w:szCs w:val="28"/>
          <w14:textFill>
            <w14:solidFill>
              <w14:schemeClr w14:val="tx1"/>
            </w14:solidFill>
          </w14:textFill>
        </w:rPr>
        <w:t>加强学校、广场、大型商场等场所的临时利用，建设具备应急指挥、应急避难、医疗救治等功能的应急避难场所。推进救灾物资储备设施建设，充分利用政府和社会现有储备仓库，适当新建生活类救灾物资储备分库，形成分级管理、种类齐全、规模适度、保障有力的救灾物资储备网络。积极发挥市场作用，形成企业生产物资储备和下沉基层的门店分布式物资储备机制，确保关键时刻拿得出、调得快、用得上、有保证，有效应对重大突发事件。</w:t>
      </w:r>
    </w:p>
    <w:p>
      <w:pPr>
        <w:pStyle w:val="5"/>
        <w:keepNext w:val="0"/>
        <w:keepLines w:val="0"/>
        <w:pageBreakBefore w:val="0"/>
        <w:widowControl w:val="0"/>
        <w:kinsoku/>
        <w:wordWrap/>
        <w:overflowPunct/>
        <w:topLinePunct w:val="0"/>
        <w:autoSpaceDE/>
        <w:autoSpaceDN/>
        <w:bidi w:val="0"/>
        <w:spacing w:before="0" w:after="0" w:line="560" w:lineRule="exact"/>
        <w:ind w:firstLine="560" w:firstLineChars="200"/>
        <w:textAlignment w:val="auto"/>
        <w:rPr>
          <w:rFonts w:ascii="黑体" w:hAnsi="黑体" w:eastAsia="黑体"/>
          <w:b w:val="0"/>
          <w:bCs w:val="0"/>
          <w:color w:val="000000" w:themeColor="text1"/>
          <w:sz w:val="28"/>
          <w:szCs w:val="28"/>
          <w14:textFill>
            <w14:solidFill>
              <w14:schemeClr w14:val="tx1"/>
            </w14:solidFill>
          </w14:textFill>
        </w:rPr>
      </w:pPr>
      <w:bookmarkStart w:id="162" w:name="_Toc13725"/>
      <w:bookmarkStart w:id="163" w:name="_Toc2095"/>
      <w:bookmarkStart w:id="164" w:name="_Toc8679"/>
      <w:bookmarkStart w:id="165" w:name="_Toc27421"/>
      <w:r>
        <w:rPr>
          <w:rFonts w:hint="eastAsia" w:ascii="黑体" w:hAnsi="黑体" w:eastAsia="黑体"/>
          <w:b w:val="0"/>
          <w:bCs w:val="0"/>
          <w:color w:val="000000" w:themeColor="text1"/>
          <w:sz w:val="28"/>
          <w:szCs w:val="28"/>
          <w14:textFill>
            <w14:solidFill>
              <w14:schemeClr w14:val="tx1"/>
            </w14:solidFill>
          </w14:textFill>
        </w:rPr>
        <w:t>四、强化招商选资，厚植高质量赶超发展新动能</w:t>
      </w:r>
      <w:bookmarkEnd w:id="162"/>
      <w:bookmarkEnd w:id="163"/>
      <w:bookmarkEnd w:id="164"/>
      <w:bookmarkEnd w:id="165"/>
    </w:p>
    <w:p>
      <w:pPr>
        <w:keepNext w:val="0"/>
        <w:keepLines w:val="0"/>
        <w:pageBreakBefore w:val="0"/>
        <w:widowControl w:val="0"/>
        <w:kinsoku/>
        <w:wordWrap/>
        <w:overflowPunct/>
        <w:topLinePunct w:val="0"/>
        <w:autoSpaceDE/>
        <w:autoSpaceDN/>
        <w:bidi w:val="0"/>
        <w:spacing w:line="560" w:lineRule="exact"/>
        <w:ind w:firstLine="560" w:firstLineChars="200"/>
        <w:textAlignment w:val="auto"/>
        <w:outlineLvl w:val="2"/>
        <w:rPr>
          <w:rFonts w:ascii="楷体_GB2312" w:hAnsi="楷体_GB2312" w:eastAsia="楷体_GB2312" w:cs="楷体_GB2312"/>
          <w:b w:val="0"/>
          <w:bCs/>
          <w:color w:val="000000" w:themeColor="text1"/>
          <w:kern w:val="0"/>
          <w:sz w:val="28"/>
          <w:szCs w:val="28"/>
          <w14:textFill>
            <w14:solidFill>
              <w14:schemeClr w14:val="tx1"/>
            </w14:solidFill>
          </w14:textFill>
        </w:rPr>
      </w:pPr>
      <w:bookmarkStart w:id="166" w:name="_Toc6772"/>
      <w:r>
        <w:rPr>
          <w:rFonts w:hint="eastAsia" w:ascii="楷体_GB2312" w:hAnsi="楷体_GB2312" w:eastAsia="楷体_GB2312" w:cs="楷体_GB2312"/>
          <w:b w:val="0"/>
          <w:bCs/>
          <w:color w:val="000000" w:themeColor="text1"/>
          <w:kern w:val="0"/>
          <w:sz w:val="28"/>
          <w:szCs w:val="28"/>
          <w14:textFill>
            <w14:solidFill>
              <w14:schemeClr w14:val="tx1"/>
            </w14:solidFill>
          </w14:textFill>
        </w:rPr>
        <w:t>（一）狠抓招商选资</w:t>
      </w:r>
      <w:bookmarkEnd w:id="166"/>
    </w:p>
    <w:p>
      <w:pPr>
        <w:pStyle w:val="2"/>
        <w:keepNext w:val="0"/>
        <w:keepLines w:val="0"/>
        <w:pageBreakBefore w:val="0"/>
        <w:widowControl w:val="0"/>
        <w:kinsoku/>
        <w:wordWrap/>
        <w:overflowPunct/>
        <w:topLinePunct w:val="0"/>
        <w:autoSpaceDE/>
        <w:autoSpaceDN/>
        <w:bidi w:val="0"/>
        <w:spacing w:after="0" w:line="560" w:lineRule="exact"/>
        <w:ind w:firstLine="562" w:firstLineChars="200"/>
        <w:textAlignment w:val="auto"/>
        <w:rPr>
          <w:rFonts w:hAnsi="仿宋_GB2312"/>
          <w:color w:val="000000" w:themeColor="text1"/>
          <w:sz w:val="28"/>
          <w:szCs w:val="28"/>
          <w14:textFill>
            <w14:solidFill>
              <w14:schemeClr w14:val="tx1"/>
            </w14:solidFill>
          </w14:textFill>
        </w:rPr>
      </w:pPr>
      <w:r>
        <w:rPr>
          <w:rFonts w:hint="eastAsia" w:hAnsi="仿宋_GB2312"/>
          <w:b/>
          <w:bCs/>
          <w:color w:val="000000" w:themeColor="text1"/>
          <w:sz w:val="28"/>
          <w:szCs w:val="28"/>
          <w14:textFill>
            <w14:solidFill>
              <w14:schemeClr w14:val="tx1"/>
            </w14:solidFill>
          </w14:textFill>
        </w:rPr>
        <w:t>完善招商体系。</w:t>
      </w:r>
      <w:r>
        <w:rPr>
          <w:rFonts w:hint="eastAsia" w:hAnsi="仿宋_GB2312"/>
          <w:color w:val="000000" w:themeColor="text1"/>
          <w:sz w:val="28"/>
          <w:szCs w:val="28"/>
          <w14:textFill>
            <w14:solidFill>
              <w14:schemeClr w14:val="tx1"/>
            </w14:solidFill>
          </w14:textFill>
        </w:rPr>
        <w:t>构建以招商选资工作领导小组为统领，以开发区为中心，以各镇、各部门为协同的招商作战体系，进一步发挥北京、上海、深圳驻外招商专员作用，凝聚大招商、招大商的强大合力。</w:t>
      </w:r>
      <w:r>
        <w:rPr>
          <w:rFonts w:hint="eastAsia" w:hAnsi="仿宋_GB2312"/>
          <w:b/>
          <w:bCs/>
          <w:color w:val="000000" w:themeColor="text1"/>
          <w:sz w:val="28"/>
          <w:szCs w:val="28"/>
          <w14:textFill>
            <w14:solidFill>
              <w14:schemeClr w14:val="tx1"/>
            </w14:solidFill>
          </w14:textFill>
        </w:rPr>
        <w:t>创新招商方式。</w:t>
      </w:r>
      <w:r>
        <w:rPr>
          <w:rFonts w:hint="eastAsia" w:hAnsi="仿宋_GB2312"/>
          <w:color w:val="000000" w:themeColor="text1"/>
          <w:sz w:val="28"/>
          <w:szCs w:val="28"/>
          <w14:textFill>
            <w14:solidFill>
              <w14:schemeClr w14:val="tx1"/>
            </w14:solidFill>
          </w14:textFill>
        </w:rPr>
        <w:t>坚持内培外引，大力引增量，围绕延链补链强链，积极对接京津、江浙沪蒙、珠三角，充分依托我县龙头企业的资源优势，开展产业链招商、驻地招商、以商招商、清商回归。</w:t>
      </w:r>
      <w:r>
        <w:rPr>
          <w:rFonts w:hint="eastAsia" w:hAnsi="仿宋_GB2312"/>
          <w:b/>
          <w:bCs/>
          <w:color w:val="000000" w:themeColor="text1"/>
          <w:sz w:val="28"/>
          <w:szCs w:val="28"/>
          <w14:textFill>
            <w14:solidFill>
              <w14:schemeClr w14:val="tx1"/>
            </w14:solidFill>
          </w14:textFill>
        </w:rPr>
        <w:t>明确招商方向。</w:t>
      </w:r>
      <w:r>
        <w:rPr>
          <w:rFonts w:hint="eastAsia" w:hAnsi="仿宋_GB2312"/>
          <w:color w:val="000000" w:themeColor="text1"/>
          <w:sz w:val="28"/>
          <w:szCs w:val="28"/>
          <w14:textFill>
            <w14:solidFill>
              <w14:schemeClr w14:val="tx1"/>
            </w14:solidFill>
          </w14:textFill>
        </w:rPr>
        <w:t>一是盯住“世</w:t>
      </w:r>
      <w:r>
        <w:rPr>
          <w:rFonts w:hint="eastAsia" w:hAnsi="仿宋_GB2312"/>
          <w:color w:val="000000" w:themeColor="text1"/>
          <w:kern w:val="0"/>
          <w:sz w:val="28"/>
          <w:szCs w:val="28"/>
          <w14:textFill>
            <w14:solidFill>
              <w14:schemeClr w14:val="tx1"/>
            </w14:solidFill>
          </w14:textFill>
        </w:rPr>
        <w:t>界500强”</w:t>
      </w:r>
      <w:r>
        <w:rPr>
          <w:rFonts w:hint="eastAsia" w:hAnsi="仿宋_GB2312"/>
          <w:color w:val="000000" w:themeColor="text1"/>
          <w:sz w:val="28"/>
          <w:szCs w:val="28"/>
          <w14:textFill>
            <w14:solidFill>
              <w14:schemeClr w14:val="tx1"/>
            </w14:solidFill>
          </w14:textFill>
        </w:rPr>
        <w:t>“中国500强”企业、行业龙头企业、国企央企名企，强力推动一批关键性、节点性、带动性强的重大项目，着力引进一批“雁阵效应”的“领头雁”项目、“孵蛋效应”的“老母鸡”项目和高精尖项目，放大“鲶鱼效应”。二是把补链强链作为持续动能，围绕主导产业发展需求，重点引进上下游企业，增强产业关联度和配套能力，提升产业链供应链水平。</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“十四五”期间，签约项目协议总金额400亿元以上，签约亿元以上项目不低于160个</w:t>
      </w:r>
      <w:r>
        <w:rPr>
          <w:rFonts w:hint="eastAsia" w:ascii="Times New Roman" w:hAnsi="Times New Roman" w:eastAsia="仿宋_GB2312" w:cs="Times New Roman"/>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outlineLvl w:val="2"/>
        <w:rPr>
          <w:rFonts w:ascii="楷体_GB2312" w:hAnsi="楷体_GB2312" w:eastAsia="楷体_GB2312" w:cs="楷体_GB2312"/>
          <w:b w:val="0"/>
          <w:bCs/>
          <w:color w:val="000000" w:themeColor="text1"/>
          <w:kern w:val="0"/>
          <w:sz w:val="28"/>
          <w:szCs w:val="28"/>
          <w14:textFill>
            <w14:solidFill>
              <w14:schemeClr w14:val="tx1"/>
            </w14:solidFill>
          </w14:textFill>
        </w:rPr>
      </w:pPr>
      <w:bookmarkStart w:id="167" w:name="_Toc14469"/>
      <w:r>
        <w:rPr>
          <w:rFonts w:hint="eastAsia" w:ascii="楷体_GB2312" w:hAnsi="楷体_GB2312" w:eastAsia="楷体_GB2312" w:cs="楷体_GB2312"/>
          <w:b w:val="0"/>
          <w:bCs/>
          <w:color w:val="000000" w:themeColor="text1"/>
          <w:kern w:val="0"/>
          <w:sz w:val="28"/>
          <w:szCs w:val="28"/>
          <w14:textFill>
            <w14:solidFill>
              <w14:schemeClr w14:val="tx1"/>
            </w14:solidFill>
          </w14:textFill>
        </w:rPr>
        <w:t>（二）加快项目“双进双产”</w:t>
      </w:r>
      <w:bookmarkEnd w:id="167"/>
    </w:p>
    <w:p>
      <w:pPr>
        <w:pStyle w:val="2"/>
        <w:keepNext w:val="0"/>
        <w:keepLines w:val="0"/>
        <w:pageBreakBefore w:val="0"/>
        <w:widowControl w:val="0"/>
        <w:kinsoku/>
        <w:wordWrap/>
        <w:overflowPunct/>
        <w:topLinePunct w:val="0"/>
        <w:autoSpaceDE/>
        <w:autoSpaceDN/>
        <w:bidi w:val="0"/>
        <w:spacing w:after="0" w:line="560" w:lineRule="exact"/>
        <w:ind w:firstLine="560" w:firstLineChars="200"/>
        <w:textAlignment w:val="auto"/>
        <w:rPr>
          <w:rFonts w:hAnsi="仿宋_GB2312"/>
          <w:color w:val="000000" w:themeColor="text1"/>
          <w:sz w:val="28"/>
          <w:szCs w:val="28"/>
          <w14:textFill>
            <w14:solidFill>
              <w14:schemeClr w14:val="tx1"/>
            </w14:solidFill>
          </w14:textFill>
        </w:rPr>
      </w:pPr>
      <w:r>
        <w:rPr>
          <w:rFonts w:hint="eastAsia" w:hAnsi="仿宋_GB2312"/>
          <w:color w:val="000000" w:themeColor="text1"/>
          <w:sz w:val="28"/>
          <w:szCs w:val="28"/>
          <w14:textFill>
            <w14:solidFill>
              <w14:schemeClr w14:val="tx1"/>
            </w14:solidFill>
          </w14:textFill>
        </w:rPr>
        <w:t>坚持“项目为王、效率至上”，把“双进双产”作为重中之重，围绕羊绒、汽配等特色支柱产业，强化“亩均论英雄” 导向，加大“大好高优”项目的引进落地力度。以“见工地、见设备、见产品”为标尺，加快推进北京天科合达、河北敬通远、上海春竹、中航上大高温合金、海澜之家、中汇纺织智能数字化纺织工厂、华家那羊绒等省市县重点项目落地投产。</w:t>
      </w:r>
    </w:p>
    <w:p>
      <w:pPr>
        <w:pStyle w:val="2"/>
        <w:keepNext w:val="0"/>
        <w:keepLines w:val="0"/>
        <w:pageBreakBefore w:val="0"/>
        <w:widowControl w:val="0"/>
        <w:kinsoku/>
        <w:wordWrap/>
        <w:overflowPunct/>
        <w:topLinePunct w:val="0"/>
        <w:autoSpaceDE/>
        <w:autoSpaceDN/>
        <w:bidi w:val="0"/>
        <w:spacing w:after="0" w:line="560" w:lineRule="exact"/>
        <w:ind w:firstLine="560" w:firstLineChars="200"/>
        <w:textAlignment w:val="auto"/>
        <w:rPr>
          <w:rFonts w:hAnsi="仿宋_GB2312"/>
          <w:color w:val="000000" w:themeColor="text1"/>
          <w:sz w:val="28"/>
          <w:szCs w:val="28"/>
          <w14:textFill>
            <w14:solidFill>
              <w14:schemeClr w14:val="tx1"/>
            </w14:solidFill>
          </w14:textFill>
        </w:rPr>
      </w:pPr>
      <w:r>
        <w:rPr>
          <w:rFonts w:hint="eastAsia" w:hAnsi="仿宋_GB2312"/>
          <w:color w:val="000000" w:themeColor="text1"/>
          <w:sz w:val="28"/>
          <w:szCs w:val="28"/>
          <w14:textFill>
            <w14:solidFill>
              <w14:schemeClr w14:val="tx1"/>
            </w14:solidFill>
          </w14:textFill>
        </w:rPr>
        <w:t>力争“十四五”期间，全县工业投资增速保持在两位数以上。到2025年，全县新增亿元以上开工入库工业项目</w:t>
      </w:r>
      <w:r>
        <w:rPr>
          <w:rFonts w:hAnsi="仿宋_GB2312"/>
          <w:color w:val="000000" w:themeColor="text1"/>
          <w:sz w:val="28"/>
          <w:szCs w:val="28"/>
          <w14:textFill>
            <w14:solidFill>
              <w14:schemeClr w14:val="tx1"/>
            </w14:solidFill>
          </w14:textFill>
        </w:rPr>
        <w:t>150</w:t>
      </w:r>
      <w:r>
        <w:rPr>
          <w:rFonts w:hint="eastAsia" w:hAnsi="仿宋_GB2312"/>
          <w:color w:val="000000" w:themeColor="text1"/>
          <w:sz w:val="28"/>
          <w:szCs w:val="28"/>
          <w14:textFill>
            <w14:solidFill>
              <w14:schemeClr w14:val="tx1"/>
            </w14:solidFill>
          </w14:textFill>
        </w:rPr>
        <w:t>个以上，新增亿元以上竣工投产项目</w:t>
      </w:r>
      <w:r>
        <w:rPr>
          <w:rFonts w:hAnsi="仿宋_GB2312"/>
          <w:color w:val="000000" w:themeColor="text1"/>
          <w:sz w:val="28"/>
          <w:szCs w:val="28"/>
          <w14:textFill>
            <w14:solidFill>
              <w14:schemeClr w14:val="tx1"/>
            </w14:solidFill>
          </w14:textFill>
        </w:rPr>
        <w:t>100</w:t>
      </w:r>
      <w:r>
        <w:rPr>
          <w:rFonts w:hint="eastAsia" w:hAnsi="仿宋_GB2312"/>
          <w:color w:val="000000" w:themeColor="text1"/>
          <w:sz w:val="28"/>
          <w:szCs w:val="28"/>
          <w14:textFill>
            <w14:solidFill>
              <w14:schemeClr w14:val="tx1"/>
            </w14:solidFill>
          </w14:textFill>
        </w:rPr>
        <w:t>个；确保工业企业亩均税收年均增长15%以上，到2025年底达到10万元以上。</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outlineLvl w:val="2"/>
        <w:rPr>
          <w:rFonts w:ascii="楷体_GB2312" w:hAnsi="楷体_GB2312" w:eastAsia="楷体_GB2312" w:cs="楷体_GB2312"/>
          <w:b w:val="0"/>
          <w:bCs/>
          <w:color w:val="000000" w:themeColor="text1"/>
          <w:kern w:val="0"/>
          <w:sz w:val="28"/>
          <w:szCs w:val="28"/>
          <w14:textFill>
            <w14:solidFill>
              <w14:schemeClr w14:val="tx1"/>
            </w14:solidFill>
          </w14:textFill>
        </w:rPr>
      </w:pPr>
      <w:bookmarkStart w:id="168" w:name="_Toc30658"/>
      <w:r>
        <w:rPr>
          <w:rFonts w:hint="eastAsia" w:ascii="楷体_GB2312" w:hAnsi="楷体_GB2312" w:eastAsia="楷体_GB2312" w:cs="楷体_GB2312"/>
          <w:b w:val="0"/>
          <w:bCs/>
          <w:color w:val="000000" w:themeColor="text1"/>
          <w:kern w:val="0"/>
          <w:sz w:val="28"/>
          <w:szCs w:val="28"/>
          <w14:textFill>
            <w14:solidFill>
              <w14:schemeClr w14:val="tx1"/>
            </w14:solidFill>
          </w14:textFill>
        </w:rPr>
        <w:t>（三）优化要素供给</w:t>
      </w:r>
      <w:bookmarkEnd w:id="168"/>
    </w:p>
    <w:p>
      <w:pPr>
        <w:pStyle w:val="23"/>
        <w:keepNext w:val="0"/>
        <w:keepLines w:val="0"/>
        <w:pageBreakBefore w:val="0"/>
        <w:widowControl w:val="0"/>
        <w:kinsoku/>
        <w:wordWrap/>
        <w:overflowPunct/>
        <w:topLinePunct w:val="0"/>
        <w:autoSpaceDE/>
        <w:autoSpaceDN/>
        <w:bidi w:val="0"/>
        <w:spacing w:before="0" w:beforeAutospacing="0" w:after="0" w:afterAutospacing="0" w:line="560" w:lineRule="exact"/>
        <w:ind w:firstLine="562" w:firstLineChars="200"/>
        <w:jc w:val="both"/>
        <w:textAlignment w:val="auto"/>
        <w:rPr>
          <w:rFonts w:ascii="Times New Roman" w:hAnsi="Times New Roman" w:eastAsia="仿宋_GB2312" w:cs="Times New Roman"/>
          <w:b/>
          <w:bCs/>
          <w:color w:val="000000" w:themeColor="text1"/>
          <w:kern w:val="2"/>
          <w:sz w:val="28"/>
          <w:szCs w:val="28"/>
          <w14:textFill>
            <w14:solidFill>
              <w14:schemeClr w14:val="tx1"/>
            </w14:solidFill>
          </w14:textFill>
        </w:rPr>
      </w:pPr>
      <w:r>
        <w:rPr>
          <w:rFonts w:hint="eastAsia" w:ascii="Times New Roman" w:hAnsi="Times New Roman" w:eastAsia="仿宋_GB2312" w:cs="Times New Roman"/>
          <w:b/>
          <w:bCs/>
          <w:color w:val="000000" w:themeColor="text1"/>
          <w:kern w:val="2"/>
          <w:sz w:val="28"/>
          <w:szCs w:val="28"/>
          <w:lang w:val="en-US" w:eastAsia="zh-CN"/>
          <w14:textFill>
            <w14:solidFill>
              <w14:schemeClr w14:val="tx1"/>
            </w14:solidFill>
          </w14:textFill>
        </w:rPr>
        <w:t>1.</w:t>
      </w:r>
      <w:r>
        <w:rPr>
          <w:rFonts w:ascii="Times New Roman" w:hAnsi="Times New Roman" w:eastAsia="仿宋_GB2312" w:cs="Times New Roman"/>
          <w:b/>
          <w:bCs/>
          <w:color w:val="000000" w:themeColor="text1"/>
          <w:kern w:val="2"/>
          <w:sz w:val="28"/>
          <w:szCs w:val="28"/>
          <w14:textFill>
            <w14:solidFill>
              <w14:schemeClr w14:val="tx1"/>
            </w14:solidFill>
          </w14:textFill>
        </w:rPr>
        <w:t>强化土地要素保障</w:t>
      </w:r>
    </w:p>
    <w:p>
      <w:pPr>
        <w:pStyle w:val="23"/>
        <w:keepNext w:val="0"/>
        <w:keepLines w:val="0"/>
        <w:pageBreakBefore w:val="0"/>
        <w:widowControl w:val="0"/>
        <w:kinsoku/>
        <w:wordWrap/>
        <w:overflowPunct/>
        <w:topLinePunct w:val="0"/>
        <w:autoSpaceDE/>
        <w:autoSpaceDN/>
        <w:bidi w:val="0"/>
        <w:spacing w:before="0" w:beforeAutospacing="0" w:after="0" w:afterAutospacing="0" w:line="560" w:lineRule="exact"/>
        <w:ind w:firstLine="562" w:firstLineChars="200"/>
        <w:jc w:val="both"/>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b/>
          <w:bCs/>
          <w:color w:val="000000" w:themeColor="text1"/>
          <w:sz w:val="28"/>
          <w:szCs w:val="28"/>
          <w14:textFill>
            <w14:solidFill>
              <w14:schemeClr w14:val="tx1"/>
            </w14:solidFill>
          </w14:textFill>
        </w:rPr>
        <w:t>做好耕地保护。</w:t>
      </w:r>
      <w:r>
        <w:rPr>
          <w:rFonts w:ascii="Times New Roman" w:hAnsi="Times New Roman" w:eastAsia="仿宋_GB2312" w:cs="Times New Roman"/>
          <w:color w:val="000000" w:themeColor="text1"/>
          <w:sz w:val="28"/>
          <w:szCs w:val="28"/>
          <w14:textFill>
            <w14:solidFill>
              <w14:schemeClr w14:val="tx1"/>
            </w14:solidFill>
          </w14:textFill>
        </w:rPr>
        <w:t>以国土空间规划为引领，实施耕地数量、质量、生态“三位一体”综合保护，牢牢守住耕地红线，确保国家粮食安全。</w:t>
      </w:r>
      <w:r>
        <w:rPr>
          <w:rFonts w:ascii="Times New Roman" w:hAnsi="Times New Roman" w:eastAsia="仿宋_GB2312" w:cs="Times New Roman"/>
          <w:b/>
          <w:bCs/>
          <w:color w:val="000000" w:themeColor="text1"/>
          <w:sz w:val="28"/>
          <w:szCs w:val="28"/>
          <w14:textFill>
            <w14:solidFill>
              <w14:schemeClr w14:val="tx1"/>
            </w14:solidFill>
          </w14:textFill>
        </w:rPr>
        <w:t>狠抓土地储备</w:t>
      </w:r>
      <w:r>
        <w:rPr>
          <w:rFonts w:hint="eastAsia" w:ascii="Times New Roman" w:hAnsi="Times New Roman" w:eastAsia="仿宋_GB2312" w:cs="Times New Roman"/>
          <w:b/>
          <w:bCs/>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坚持以项目建设为重点，狠抓土地储备，对上快争快跑要地、对内拆违拆迁腾地，盘活存量，用好增量</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开展集体经营性建设用地入市工作，多途径、多方式挖潜存量土地，保障项目用地需求</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努力实现“地等项目”</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b/>
          <w:bCs/>
          <w:color w:val="000000" w:themeColor="text1"/>
          <w:kern w:val="2"/>
          <w:sz w:val="28"/>
          <w:szCs w:val="28"/>
          <w14:textFill>
            <w14:solidFill>
              <w14:schemeClr w14:val="tx1"/>
            </w14:solidFill>
          </w14:textFill>
        </w:rPr>
        <w:t>加快“五未”低效土地清理</w:t>
      </w:r>
      <w:r>
        <w:rPr>
          <w:rFonts w:hint="eastAsia" w:ascii="Times New Roman" w:hAnsi="Times New Roman" w:eastAsia="仿宋_GB2312" w:cs="Times New Roman"/>
          <w:b/>
          <w:bCs/>
          <w:color w:val="000000" w:themeColor="text1"/>
          <w:kern w:val="2"/>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综合运用行政、法律、市场手段，统筹落实置换、回收、分割、重组、退出等清理措施，一企一策、分类施治，采取差别化政策消化到位。</w:t>
      </w:r>
      <w:r>
        <w:rPr>
          <w:rFonts w:ascii="Times New Roman" w:hAnsi="Times New Roman" w:eastAsia="仿宋_GB2312" w:cs="Times New Roman"/>
          <w:b/>
          <w:bCs/>
          <w:color w:val="000000" w:themeColor="text1"/>
          <w:sz w:val="28"/>
          <w:szCs w:val="28"/>
          <w14:textFill>
            <w14:solidFill>
              <w14:schemeClr w14:val="tx1"/>
            </w14:solidFill>
          </w14:textFill>
        </w:rPr>
        <w:t>提高土地效益</w:t>
      </w:r>
      <w:r>
        <w:rPr>
          <w:rFonts w:hint="eastAsia" w:ascii="Times New Roman" w:hAnsi="Times New Roman" w:eastAsia="仿宋_GB2312" w:cs="Times New Roman"/>
          <w:b/>
          <w:bCs/>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坚持“有限空间、无限发展”理念，全面落实“亩均论英雄”综合评价机制，最大限度地挖潜土地效益，实现自然资源集约节约利用。</w:t>
      </w:r>
      <w:r>
        <w:rPr>
          <w:rFonts w:hint="eastAsia" w:ascii="Times New Roman" w:hAnsi="Times New Roman" w:eastAsia="仿宋_GB2312" w:cs="Times New Roman"/>
          <w:b/>
          <w:bCs/>
          <w:color w:val="000000" w:themeColor="text1"/>
          <w:sz w:val="28"/>
          <w:szCs w:val="28"/>
          <w14:textFill>
            <w14:solidFill>
              <w14:schemeClr w14:val="tx1"/>
            </w14:solidFill>
          </w14:textFill>
        </w:rPr>
        <w:t>完善土地资源市场。</w:t>
      </w:r>
      <w:r>
        <w:rPr>
          <w:rFonts w:ascii="Times New Roman" w:hAnsi="Times New Roman" w:eastAsia="仿宋_GB2312" w:cs="Times New Roman"/>
          <w:color w:val="000000" w:themeColor="text1"/>
          <w:sz w:val="28"/>
          <w:szCs w:val="28"/>
          <w14:textFill>
            <w14:solidFill>
              <w14:schemeClr w14:val="tx1"/>
            </w14:solidFill>
          </w14:textFill>
        </w:rPr>
        <w:t>完善自然资源资产的转让、租赁、抵押二级交易市场规则，推进自然资源资产二级交易平台和服务体系建设，进一步增强自然资源保障和服务能力。</w:t>
      </w:r>
      <w:r>
        <w:rPr>
          <w:rFonts w:hint="eastAsia" w:ascii="仿宋_GB2312" w:hAnsi="仿宋_GB2312" w:eastAsia="仿宋_GB2312" w:cs="仿宋_GB2312"/>
          <w:color w:val="000000" w:themeColor="text1"/>
          <w:sz w:val="28"/>
          <w:szCs w:val="28"/>
          <w14:textFill>
            <w14:solidFill>
              <w14:schemeClr w14:val="tx1"/>
            </w14:solidFill>
          </w14:textFill>
        </w:rPr>
        <w:t>有序推进农村用地管理制度改革，逐步建立城乡统一的土地市场。</w:t>
      </w:r>
    </w:p>
    <w:p>
      <w:pPr>
        <w:keepNext w:val="0"/>
        <w:keepLines w:val="0"/>
        <w:pageBreakBefore w:val="0"/>
        <w:widowControl w:val="0"/>
        <w:kinsoku/>
        <w:wordWrap/>
        <w:overflowPunct/>
        <w:topLinePunct w:val="0"/>
        <w:autoSpaceDE/>
        <w:autoSpaceDN/>
        <w:bidi w:val="0"/>
        <w:spacing w:line="560" w:lineRule="exact"/>
        <w:ind w:firstLine="562" w:firstLineChars="200"/>
        <w:textAlignment w:val="auto"/>
        <w:rPr>
          <w:rFonts w:hint="eastAsia" w:ascii="Times New Roman" w:hAnsi="Times New Roman" w:eastAsia="仿宋_GB2312" w:cs="Times New Roman"/>
          <w:b/>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lang w:val="en-US" w:eastAsia="zh-CN"/>
          <w14:textFill>
            <w14:solidFill>
              <w14:schemeClr w14:val="tx1"/>
            </w14:solidFill>
          </w14:textFill>
        </w:rPr>
        <w:t>2.</w:t>
      </w:r>
      <w:r>
        <w:rPr>
          <w:rFonts w:hint="eastAsia" w:ascii="Times New Roman" w:hAnsi="Times New Roman" w:eastAsia="仿宋_GB2312" w:cs="Times New Roman"/>
          <w:b/>
          <w:color w:val="000000" w:themeColor="text1"/>
          <w:sz w:val="28"/>
          <w:szCs w:val="28"/>
          <w14:textFill>
            <w14:solidFill>
              <w14:schemeClr w14:val="tx1"/>
            </w14:solidFill>
          </w14:textFill>
        </w:rPr>
        <w:t>强化资金要素保障</w:t>
      </w:r>
    </w:p>
    <w:p>
      <w:pPr>
        <w:keepNext w:val="0"/>
        <w:keepLines w:val="0"/>
        <w:pageBreakBefore w:val="0"/>
        <w:widowControl w:val="0"/>
        <w:kinsoku/>
        <w:wordWrap/>
        <w:overflowPunct/>
        <w:topLinePunct w:val="0"/>
        <w:autoSpaceDE/>
        <w:autoSpaceDN/>
        <w:bidi w:val="0"/>
        <w:spacing w:line="560" w:lineRule="exact"/>
        <w:ind w:firstLine="562" w:firstLineChars="200"/>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一是着力破解企业融资难题。</w:t>
      </w:r>
      <w:r>
        <w:rPr>
          <w:rFonts w:hint="eastAsia" w:ascii="仿宋_GB2312" w:hAnsi="仿宋_GB2312" w:eastAsia="仿宋_GB2312" w:cs="仿宋_GB2312"/>
          <w:color w:val="000000" w:themeColor="text1"/>
          <w:sz w:val="28"/>
          <w:szCs w:val="28"/>
          <w14:textFill>
            <w14:solidFill>
              <w14:schemeClr w14:val="tx1"/>
            </w14:solidFill>
          </w14:textFill>
        </w:rPr>
        <w:t>建立县城各银行金融机构对接重点项目清单管理制度，成立县域产融促进中心，实现银企高效无缝对接，探索建立产业纾困基金。积极引导金融资本服务实体经济，设立县级信用金融服务平台，鼓励金融机构创新信用信贷产品，破解中小企业抵押贷款难题；设立金融超市，积极引进县内外金融机构，开展绿色金融、科技金融、普惠金融、供应链金融等多元化信贷服务，破解融资难、融资贵问题；推广无还本续贷，运营好转贷基金，破解企业续贷难问题。</w:t>
      </w:r>
      <w:bookmarkStart w:id="169" w:name="_Hlk63337754"/>
      <w:r>
        <w:rPr>
          <w:rFonts w:hint="eastAsia" w:ascii="仿宋_GB2312" w:hAnsi="仿宋_GB2312" w:eastAsia="仿宋_GB2312" w:cs="仿宋_GB2312"/>
          <w:color w:val="000000" w:themeColor="text1"/>
          <w:sz w:val="28"/>
          <w:szCs w:val="28"/>
          <w14:textFill>
            <w14:solidFill>
              <w14:schemeClr w14:val="tx1"/>
            </w14:solidFill>
          </w14:textFill>
        </w:rPr>
        <w:t>力争“十四五”末，各项贷款余额达到</w:t>
      </w:r>
      <w:r>
        <w:rPr>
          <w:rFonts w:ascii="仿宋_GB2312" w:hAnsi="仿宋_GB2312" w:eastAsia="仿宋_GB2312" w:cs="仿宋_GB2312"/>
          <w:color w:val="000000" w:themeColor="text1"/>
          <w:sz w:val="28"/>
          <w:szCs w:val="28"/>
          <w14:textFill>
            <w14:solidFill>
              <w14:schemeClr w14:val="tx1"/>
            </w14:solidFill>
          </w14:textFill>
        </w:rPr>
        <w:t>205</w:t>
      </w:r>
      <w:r>
        <w:rPr>
          <w:rFonts w:hint="eastAsia" w:ascii="Times New Roman" w:hAnsi="Times New Roman" w:eastAsia="仿宋_GB2312" w:cs="Times New Roman"/>
          <w:color w:val="000000" w:themeColor="text1"/>
          <w:sz w:val="28"/>
          <w:szCs w:val="28"/>
          <w14:textFill>
            <w14:solidFill>
              <w14:schemeClr w14:val="tx1"/>
            </w14:solidFill>
          </w14:textFill>
        </w:rPr>
        <w:t>亿元以上，贷款增速位居全市前列。</w:t>
      </w:r>
      <w:bookmarkEnd w:id="169"/>
      <w:r>
        <w:rPr>
          <w:rFonts w:hint="eastAsia" w:ascii="Times New Roman" w:hAnsi="Times New Roman" w:eastAsia="仿宋_GB2312" w:cs="Times New Roman"/>
          <w:b/>
          <w:bCs/>
          <w:color w:val="000000" w:themeColor="text1"/>
          <w:sz w:val="28"/>
          <w:szCs w:val="28"/>
          <w14:textFill>
            <w14:solidFill>
              <w14:schemeClr w14:val="tx1"/>
            </w14:solidFill>
          </w14:textFill>
        </w:rPr>
        <w:t>二是积极引导企业上市融资。</w:t>
      </w:r>
      <w:r>
        <w:rPr>
          <w:rFonts w:hint="eastAsia" w:ascii="Times New Roman" w:hAnsi="Times New Roman" w:eastAsia="仿宋_GB2312" w:cs="Times New Roman"/>
          <w:color w:val="000000" w:themeColor="text1"/>
          <w:sz w:val="28"/>
          <w:szCs w:val="28"/>
          <w14:textFill>
            <w14:solidFill>
              <w14:schemeClr w14:val="tx1"/>
            </w14:solidFill>
          </w14:textFill>
        </w:rPr>
        <w:t>邀请国家、省市专家对我县上市意向企业开展培训，不断调整和充实我县后备挂牌上市企业资源库，培育更多挂牌上市企业。选择经营状况良好，公司管理规范，上市意愿较强的企业开展挂牌上市工作。</w:t>
      </w:r>
      <w:r>
        <w:rPr>
          <w:rFonts w:hint="eastAsia" w:ascii="仿宋_GB2312" w:hAnsi="仿宋_GB2312" w:eastAsia="仿宋_GB2312" w:cs="仿宋_GB2312"/>
          <w:color w:val="000000" w:themeColor="text1"/>
          <w:kern w:val="0"/>
          <w:sz w:val="28"/>
          <w:szCs w:val="28"/>
          <w:lang w:bidi="ar"/>
          <w14:textFill>
            <w14:solidFill>
              <w14:schemeClr w14:val="tx1"/>
            </w14:solidFill>
          </w14:textFill>
        </w:rPr>
        <w:t>加快亿利橡塑主板上市和中航上大科创板上市进程，推动大中型企业实施股改工作。</w:t>
      </w:r>
    </w:p>
    <w:p>
      <w:pPr>
        <w:pStyle w:val="23"/>
        <w:keepNext w:val="0"/>
        <w:keepLines w:val="0"/>
        <w:pageBreakBefore w:val="0"/>
        <w:widowControl w:val="0"/>
        <w:kinsoku/>
        <w:wordWrap/>
        <w:overflowPunct/>
        <w:topLinePunct w:val="0"/>
        <w:autoSpaceDE/>
        <w:autoSpaceDN/>
        <w:bidi w:val="0"/>
        <w:spacing w:before="0" w:beforeAutospacing="0" w:after="0" w:afterAutospacing="0" w:line="560" w:lineRule="exact"/>
        <w:ind w:firstLine="562" w:firstLineChars="200"/>
        <w:jc w:val="both"/>
        <w:textAlignment w:val="auto"/>
        <w:rPr>
          <w:rFonts w:hint="eastAsia" w:ascii="Times New Roman" w:hAnsi="Times New Roman" w:eastAsia="仿宋_GB2312" w:cs="Times New Roman"/>
          <w:b/>
          <w:color w:val="000000" w:themeColor="text1"/>
          <w:kern w:val="2"/>
          <w:sz w:val="28"/>
          <w:szCs w:val="28"/>
          <w14:textFill>
            <w14:solidFill>
              <w14:schemeClr w14:val="tx1"/>
            </w14:solidFill>
          </w14:textFill>
        </w:rPr>
      </w:pPr>
      <w:r>
        <w:rPr>
          <w:rFonts w:hint="eastAsia" w:ascii="Times New Roman" w:hAnsi="Times New Roman" w:eastAsia="仿宋_GB2312" w:cs="Times New Roman"/>
          <w:b/>
          <w:color w:val="000000" w:themeColor="text1"/>
          <w:kern w:val="2"/>
          <w:sz w:val="28"/>
          <w:szCs w:val="28"/>
          <w:lang w:val="en-US" w:eastAsia="zh-CN"/>
          <w14:textFill>
            <w14:solidFill>
              <w14:schemeClr w14:val="tx1"/>
            </w14:solidFill>
          </w14:textFill>
        </w:rPr>
        <w:t>3.</w:t>
      </w:r>
      <w:r>
        <w:rPr>
          <w:rFonts w:hint="eastAsia" w:ascii="Times New Roman" w:hAnsi="Times New Roman" w:eastAsia="仿宋_GB2312" w:cs="Times New Roman"/>
          <w:b/>
          <w:color w:val="000000" w:themeColor="text1"/>
          <w:kern w:val="2"/>
          <w:sz w:val="28"/>
          <w:szCs w:val="28"/>
          <w14:textFill>
            <w14:solidFill>
              <w14:schemeClr w14:val="tx1"/>
            </w14:solidFill>
          </w14:textFill>
        </w:rPr>
        <w:t>用好用足上级支持政策</w:t>
      </w:r>
    </w:p>
    <w:p>
      <w:pPr>
        <w:pStyle w:val="23"/>
        <w:keepNext w:val="0"/>
        <w:keepLines w:val="0"/>
        <w:pageBreakBefore w:val="0"/>
        <w:widowControl w:val="0"/>
        <w:kinsoku/>
        <w:wordWrap/>
        <w:overflowPunct/>
        <w:topLinePunct w:val="0"/>
        <w:autoSpaceDE/>
        <w:autoSpaceDN/>
        <w:bidi w:val="0"/>
        <w:spacing w:before="0" w:beforeAutospacing="0" w:after="0" w:afterAutospacing="0" w:line="560" w:lineRule="exact"/>
        <w:ind w:firstLine="560" w:firstLineChars="200"/>
        <w:jc w:val="both"/>
        <w:textAlignment w:val="auto"/>
        <w:rPr>
          <w:rFonts w:ascii="Times New Roman" w:hAnsi="Times New Roman" w:eastAsia="仿宋_GB2312" w:cs="Times New Roman"/>
          <w:color w:val="000000" w:themeColor="text1"/>
          <w:spacing w:val="6"/>
          <w:kern w:val="2"/>
          <w:sz w:val="28"/>
          <w:szCs w:val="28"/>
          <w14:textFill>
            <w14:solidFill>
              <w14:schemeClr w14:val="tx1"/>
            </w14:solidFill>
          </w14:textFill>
        </w:rPr>
      </w:pPr>
      <w:r>
        <w:rPr>
          <w:rFonts w:hint="eastAsia" w:ascii="Times New Roman" w:hAnsi="Times New Roman" w:eastAsia="仿宋_GB2312" w:cs="Times New Roman"/>
          <w:color w:val="000000" w:themeColor="text1"/>
          <w:kern w:val="2"/>
          <w:sz w:val="28"/>
          <w:szCs w:val="28"/>
          <w14:textFill>
            <w14:solidFill>
              <w14:schemeClr w14:val="tx1"/>
            </w14:solidFill>
          </w14:textFill>
        </w:rPr>
        <w:t>深入研究国家、省、市发展战略方向，有重点、有计划地建设若干项目库</w:t>
      </w:r>
      <w:r>
        <w:rPr>
          <w:rFonts w:hint="eastAsia" w:ascii="Times New Roman" w:hAnsi="Times New Roman" w:eastAsia="仿宋_GB2312" w:cs="Times New Roman"/>
          <w:color w:val="000000" w:themeColor="text1"/>
          <w:spacing w:val="6"/>
          <w:kern w:val="2"/>
          <w:sz w:val="28"/>
          <w:szCs w:val="28"/>
          <w14:textFill>
            <w14:solidFill>
              <w14:schemeClr w14:val="tx1"/>
            </w14:solidFill>
          </w14:textFill>
        </w:rPr>
        <w:t>，提升项目储备潜力。准确把握上级项目资金投向，</w:t>
      </w:r>
      <w:r>
        <w:rPr>
          <w:rFonts w:ascii="Times New Roman" w:hAnsi="Times New Roman" w:eastAsia="仿宋_GB2312" w:cs="Times New Roman"/>
          <w:color w:val="000000" w:themeColor="text1"/>
          <w:spacing w:val="6"/>
          <w:kern w:val="2"/>
          <w:sz w:val="28"/>
          <w:szCs w:val="28"/>
          <w14:textFill>
            <w14:solidFill>
              <w14:schemeClr w14:val="tx1"/>
            </w14:solidFill>
          </w14:textFill>
        </w:rPr>
        <w:t>不断完善项目手续，</w:t>
      </w:r>
      <w:r>
        <w:rPr>
          <w:rFonts w:hint="eastAsia" w:ascii="Times New Roman" w:hAnsi="Times New Roman" w:eastAsia="仿宋_GB2312" w:cs="Times New Roman"/>
          <w:color w:val="000000" w:themeColor="text1"/>
          <w:spacing w:val="6"/>
          <w:kern w:val="2"/>
          <w:sz w:val="28"/>
          <w:szCs w:val="28"/>
          <w14:textFill>
            <w14:solidFill>
              <w14:schemeClr w14:val="tx1"/>
            </w14:solidFill>
          </w14:textFill>
        </w:rPr>
        <w:t>做好项目前期准备，</w:t>
      </w:r>
      <w:r>
        <w:rPr>
          <w:rFonts w:ascii="Times New Roman" w:hAnsi="Times New Roman" w:eastAsia="仿宋_GB2312" w:cs="Times New Roman"/>
          <w:color w:val="000000" w:themeColor="text1"/>
          <w:spacing w:val="6"/>
          <w:kern w:val="2"/>
          <w:sz w:val="28"/>
          <w:szCs w:val="28"/>
          <w14:textFill>
            <w14:solidFill>
              <w14:schemeClr w14:val="tx1"/>
            </w14:solidFill>
          </w14:textFill>
        </w:rPr>
        <w:t>有针对性地申报和争取项目资金</w:t>
      </w:r>
      <w:r>
        <w:rPr>
          <w:rFonts w:hint="eastAsia" w:ascii="Times New Roman" w:hAnsi="Times New Roman" w:eastAsia="仿宋_GB2312" w:cs="Times New Roman"/>
          <w:color w:val="000000" w:themeColor="text1"/>
          <w:spacing w:val="6"/>
          <w:kern w:val="2"/>
          <w:sz w:val="28"/>
          <w:szCs w:val="28"/>
          <w14:textFill>
            <w14:solidFill>
              <w14:schemeClr w14:val="tx1"/>
            </w14:solidFill>
          </w14:textFill>
        </w:rPr>
        <w:t>。积极引入高端中介服务机构，为项目库项目提供各类咨询、策划、包装等专业第三方服务，提升项目申报规范性、科学性。谋划“常规项目日历”，依据常规项目每年申报时间窗口，设定谋划日、准备日、论证日、完善日、申报日等重要节点，制作项目日历，印发全县各部门单位，实施挂图作战和流程管理。</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outlineLvl w:val="2"/>
        <w:rPr>
          <w:rFonts w:ascii="楷体_GB2312" w:hAnsi="楷体_GB2312" w:eastAsia="楷体_GB2312" w:cs="楷体_GB2312"/>
          <w:b w:val="0"/>
          <w:bCs/>
          <w:color w:val="000000" w:themeColor="text1"/>
          <w:kern w:val="0"/>
          <w:sz w:val="28"/>
          <w:szCs w:val="28"/>
          <w14:textFill>
            <w14:solidFill>
              <w14:schemeClr w14:val="tx1"/>
            </w14:solidFill>
          </w14:textFill>
        </w:rPr>
      </w:pPr>
      <w:bookmarkStart w:id="170" w:name="_Toc12338"/>
      <w:r>
        <w:rPr>
          <w:rFonts w:hint="eastAsia" w:ascii="楷体_GB2312" w:hAnsi="楷体_GB2312" w:eastAsia="楷体_GB2312" w:cs="楷体_GB2312"/>
          <w:b w:val="0"/>
          <w:bCs/>
          <w:color w:val="000000" w:themeColor="text1"/>
          <w:kern w:val="0"/>
          <w:sz w:val="28"/>
          <w:szCs w:val="28"/>
          <w14:textFill>
            <w14:solidFill>
              <w14:schemeClr w14:val="tx1"/>
            </w14:solidFill>
          </w14:textFill>
        </w:rPr>
        <w:t>（四）借力京津，融入全国大循环双循环格局</w:t>
      </w:r>
      <w:bookmarkEnd w:id="170"/>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ascii="仿宋_GB2312" w:hAnsi="仿宋" w:eastAsia="仿宋_GB2312" w:cs="宋体"/>
          <w:color w:val="000000" w:themeColor="text1"/>
          <w:kern w:val="0"/>
          <w:sz w:val="28"/>
          <w:szCs w:val="28"/>
          <w14:textFill>
            <w14:solidFill>
              <w14:schemeClr w14:val="tx1"/>
            </w14:solidFill>
          </w14:textFill>
        </w:rPr>
      </w:pPr>
      <w:r>
        <w:rPr>
          <w:rFonts w:hint="eastAsia" w:ascii="仿宋_GB2312" w:hAnsi="仿宋" w:eastAsia="仿宋_GB2312" w:cs="宋体"/>
          <w:color w:val="000000" w:themeColor="text1"/>
          <w:kern w:val="0"/>
          <w:sz w:val="28"/>
          <w:szCs w:val="28"/>
          <w14:textFill>
            <w14:solidFill>
              <w14:schemeClr w14:val="tx1"/>
            </w14:solidFill>
          </w14:textFill>
        </w:rPr>
        <w:t>抢抓京津冀协同发展纵深推进的历史机遇，坚持主动对接、深度融入，高水平承接京津产业转移和功能疏解，推动与京津协同发展实现新突破，为全县高质量赶超发展增添新动能。</w:t>
      </w:r>
      <w:bookmarkStart w:id="171" w:name="_Toc12577"/>
      <w:bookmarkStart w:id="172" w:name="_Toc32373"/>
      <w:r>
        <w:rPr>
          <w:rFonts w:hint="eastAsia" w:ascii="Times New Roman" w:hAnsi="Times New Roman" w:eastAsia="仿宋_GB2312" w:cs="Times New Roman"/>
          <w:b/>
          <w:color w:val="000000" w:themeColor="text1"/>
          <w:sz w:val="28"/>
          <w:szCs w:val="28"/>
          <w14:textFill>
            <w14:solidFill>
              <w14:schemeClr w14:val="tx1"/>
            </w14:solidFill>
          </w14:textFill>
        </w:rPr>
        <w:t>打造京津中高端制造业转移承接地</w:t>
      </w:r>
      <w:bookmarkEnd w:id="171"/>
      <w:bookmarkEnd w:id="172"/>
      <w:r>
        <w:rPr>
          <w:rFonts w:hint="eastAsia" w:ascii="Times New Roman" w:hAnsi="Times New Roman" w:eastAsia="仿宋_GB2312" w:cs="Times New Roman"/>
          <w:b/>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14:textFill>
            <w14:solidFill>
              <w14:schemeClr w14:val="tx1"/>
            </w14:solidFill>
          </w14:textFill>
        </w:rPr>
        <w:t>加强与京津园区、企业、科研机构等对接合作，及时跟踪了解各类市场主体和先进要素等转移流动趋势，吸引承接更多高端制造项目和科技成果产业化项目。采取以企引企、以商招商方式，推动其上下游关联配套产业项目向我县转移，形成链式组团化转移格局。积极参加北京“科博会”、京邢对接合作洽谈会、民营经济项目洽谈会、邢台投资环境和产业招商项目推介会等重大活动，加强宣传推介，承接一批引领性、带动性、示范性强的重大项目。</w:t>
      </w:r>
      <w:bookmarkStart w:id="173" w:name="_Toc6426"/>
      <w:bookmarkStart w:id="174" w:name="_Toc13345"/>
      <w:r>
        <w:rPr>
          <w:rFonts w:hint="eastAsia" w:ascii="Times New Roman" w:hAnsi="Times New Roman" w:eastAsia="仿宋_GB2312" w:cs="Times New Roman"/>
          <w:b/>
          <w:color w:val="000000" w:themeColor="text1"/>
          <w:sz w:val="28"/>
          <w:szCs w:val="28"/>
          <w14:textFill>
            <w14:solidFill>
              <w14:schemeClr w14:val="tx1"/>
            </w14:solidFill>
          </w14:textFill>
        </w:rPr>
        <w:t>全方位提升产业承接能力</w:t>
      </w:r>
      <w:bookmarkEnd w:id="173"/>
      <w:bookmarkEnd w:id="174"/>
      <w:r>
        <w:rPr>
          <w:rFonts w:hint="eastAsia" w:ascii="Times New Roman" w:hAnsi="Times New Roman" w:eastAsia="仿宋_GB2312" w:cs="Times New Roman"/>
          <w:b/>
          <w:color w:val="000000" w:themeColor="text1"/>
          <w:sz w:val="28"/>
          <w:szCs w:val="28"/>
          <w14:textFill>
            <w14:solidFill>
              <w14:schemeClr w14:val="tx1"/>
            </w14:solidFill>
          </w14:textFill>
        </w:rPr>
        <w:t>。</w:t>
      </w:r>
      <w:r>
        <w:rPr>
          <w:rFonts w:hint="eastAsia" w:ascii="仿宋_GB2312" w:hAnsi="仿宋" w:eastAsia="仿宋_GB2312" w:cs="宋体"/>
          <w:color w:val="000000" w:themeColor="text1"/>
          <w:kern w:val="0"/>
          <w:sz w:val="28"/>
          <w:szCs w:val="28"/>
          <w14:textFill>
            <w14:solidFill>
              <w14:schemeClr w14:val="tx1"/>
            </w14:solidFill>
          </w14:textFill>
        </w:rPr>
        <w:t>推进经济开发区重点承接平台建设，推动承载力全面升级，争创全省协同发展“微中心”。以“飞地开发”、共建“伙伴园区”等方式，</w:t>
      </w:r>
      <w:r>
        <w:rPr>
          <w:rFonts w:hint="eastAsia" w:ascii="仿宋_GB2312" w:eastAsia="仿宋_GB2312" w:cs="宋体"/>
          <w:color w:val="000000" w:themeColor="text1"/>
          <w:sz w:val="28"/>
          <w:szCs w:val="28"/>
          <w14:textFill>
            <w14:solidFill>
              <w14:schemeClr w14:val="tx1"/>
            </w14:solidFill>
          </w14:textFill>
        </w:rPr>
        <w:t>吸引京津先进制造业项目和科技创新成果在我县孵化落地，</w:t>
      </w:r>
      <w:r>
        <w:rPr>
          <w:rFonts w:hint="eastAsia" w:ascii="仿宋_GB2312" w:hAnsi="仿宋" w:eastAsia="仿宋_GB2312" w:cs="宋体"/>
          <w:color w:val="000000" w:themeColor="text1"/>
          <w:kern w:val="0"/>
          <w:sz w:val="28"/>
          <w:szCs w:val="28"/>
          <w14:textFill>
            <w14:solidFill>
              <w14:schemeClr w14:val="tx1"/>
            </w14:solidFill>
          </w14:textFill>
        </w:rPr>
        <w:t>打造京津科技成果转化高地。完善京津疏解转移项目落地发展服务体系，提升京津转移项目用地、资金等要素保障能力。</w:t>
      </w:r>
    </w:p>
    <w:p>
      <w:pPr>
        <w:pStyle w:val="5"/>
        <w:keepNext w:val="0"/>
        <w:keepLines w:val="0"/>
        <w:pageBreakBefore w:val="0"/>
        <w:widowControl w:val="0"/>
        <w:kinsoku/>
        <w:wordWrap/>
        <w:overflowPunct/>
        <w:topLinePunct w:val="0"/>
        <w:autoSpaceDE/>
        <w:autoSpaceDN/>
        <w:bidi w:val="0"/>
        <w:spacing w:before="0" w:after="0" w:line="560" w:lineRule="exact"/>
        <w:ind w:firstLine="560" w:firstLineChars="200"/>
        <w:textAlignment w:val="auto"/>
        <w:rPr>
          <w:rFonts w:ascii="黑体" w:hAnsi="黑体" w:eastAsia="黑体"/>
          <w:b w:val="0"/>
          <w:bCs w:val="0"/>
          <w:color w:val="000000" w:themeColor="text1"/>
          <w:sz w:val="28"/>
          <w:szCs w:val="28"/>
          <w14:textFill>
            <w14:solidFill>
              <w14:schemeClr w14:val="tx1"/>
            </w14:solidFill>
          </w14:textFill>
        </w:rPr>
      </w:pPr>
      <w:bookmarkStart w:id="175" w:name="_Toc16623"/>
      <w:bookmarkStart w:id="176" w:name="_Toc11680"/>
      <w:bookmarkStart w:id="177" w:name="_Toc7453"/>
      <w:bookmarkStart w:id="178" w:name="_Toc32458"/>
      <w:r>
        <w:rPr>
          <w:rFonts w:hint="eastAsia" w:ascii="黑体" w:hAnsi="黑体" w:eastAsia="黑体"/>
          <w:b w:val="0"/>
          <w:bCs w:val="0"/>
          <w:color w:val="000000" w:themeColor="text1"/>
          <w:sz w:val="28"/>
          <w:szCs w:val="28"/>
          <w14:textFill>
            <w14:solidFill>
              <w14:schemeClr w14:val="tx1"/>
            </w14:solidFill>
          </w14:textFill>
        </w:rPr>
        <w:t>五、聚焦产业升级，打造高质量赶超发展强引擎</w:t>
      </w:r>
      <w:bookmarkEnd w:id="175"/>
      <w:bookmarkEnd w:id="176"/>
      <w:bookmarkEnd w:id="177"/>
      <w:bookmarkEnd w:id="178"/>
    </w:p>
    <w:p>
      <w:pPr>
        <w:keepNext w:val="0"/>
        <w:keepLines w:val="0"/>
        <w:pageBreakBefore w:val="0"/>
        <w:widowControl w:val="0"/>
        <w:kinsoku/>
        <w:wordWrap/>
        <w:overflowPunct/>
        <w:topLinePunct w:val="0"/>
        <w:autoSpaceDE/>
        <w:autoSpaceDN/>
        <w:bidi w:val="0"/>
        <w:spacing w:line="560" w:lineRule="exact"/>
        <w:ind w:firstLine="560" w:firstLineChars="200"/>
        <w:textAlignment w:val="auto"/>
        <w:outlineLvl w:val="2"/>
        <w:rPr>
          <w:rFonts w:ascii="楷体_GB2312" w:hAnsi="楷体_GB2312" w:eastAsia="楷体_GB2312" w:cs="楷体_GB2312"/>
          <w:b w:val="0"/>
          <w:bCs/>
          <w:color w:val="000000" w:themeColor="text1"/>
          <w:kern w:val="0"/>
          <w:sz w:val="28"/>
          <w:szCs w:val="28"/>
          <w14:textFill>
            <w14:solidFill>
              <w14:schemeClr w14:val="tx1"/>
            </w14:solidFill>
          </w14:textFill>
        </w:rPr>
      </w:pPr>
      <w:bookmarkStart w:id="179" w:name="_Toc27030"/>
      <w:r>
        <w:rPr>
          <w:rFonts w:hint="eastAsia" w:ascii="楷体_GB2312" w:hAnsi="楷体_GB2312" w:eastAsia="楷体_GB2312" w:cs="楷体_GB2312"/>
          <w:b w:val="0"/>
          <w:bCs/>
          <w:color w:val="000000" w:themeColor="text1"/>
          <w:kern w:val="0"/>
          <w:sz w:val="28"/>
          <w:szCs w:val="28"/>
          <w14:textFill>
            <w14:solidFill>
              <w14:schemeClr w14:val="tx1"/>
            </w14:solidFill>
          </w14:textFill>
        </w:rPr>
        <w:t>（一）着力推进农业现代化</w:t>
      </w:r>
      <w:bookmarkEnd w:id="179"/>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0" w:firstLineChars="200"/>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全县农业以稳定粮食生产和安全为基础，以农业科技创新为支撑，以“</w:t>
      </w:r>
      <w:r>
        <w:rPr>
          <w:rFonts w:ascii="Times New Roman" w:hAnsi="Times New Roman" w:eastAsia="仿宋_GB2312" w:cs="Times New Roman"/>
          <w:color w:val="000000" w:themeColor="text1"/>
          <w:sz w:val="28"/>
          <w:szCs w:val="28"/>
          <w14:textFill>
            <w14:solidFill>
              <w14:schemeClr w14:val="tx1"/>
            </w14:solidFill>
          </w14:textFill>
        </w:rPr>
        <w:t>千斤粮、万元钱</w:t>
      </w:r>
      <w:r>
        <w:rPr>
          <w:rFonts w:hint="eastAsia" w:ascii="Times New Roman" w:hAnsi="Times New Roman" w:eastAsia="仿宋_GB2312" w:cs="Times New Roman"/>
          <w:color w:val="000000" w:themeColor="text1"/>
          <w:sz w:val="28"/>
          <w:szCs w:val="28"/>
          <w14:textFill>
            <w14:solidFill>
              <w14:schemeClr w14:val="tx1"/>
            </w14:solidFill>
          </w14:textFill>
        </w:rPr>
        <w:t>”为目标，加快农业结构调整，形成西山楂、北瓜果、东蔬菜、南林果粮食和多点养殖的农业生产格局。</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1.确保粮食安全</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落实国家粮食安全战略，坚持藏粮于地、藏粮于技，以稳定粮食生产为基础，主攻粮食单产，确保粮食安全。落实最严格耕地保护制度，严防耕地非农化、非粮化，实施5万亩高标准农田建设。强化农业科技支撑，依托粮食作物高产创建项目，积极探索高产技术集成，大力推广高产栽培新技术、新模式。依托农技推广补助项目、测土配方施肥项目，大力提高良种良法覆盖率和土地产出水平，确保粮食总产量稳定。到2025年，全县粮食播种面积稳定在60万亩以上，粮食综合生产能力达到</w:t>
      </w:r>
      <w:r>
        <w:rPr>
          <w:rFonts w:ascii="仿宋_GB2312" w:hAnsi="仿宋_GB2312" w:eastAsia="仿宋_GB2312" w:cs="仿宋_GB2312"/>
          <w:color w:val="000000" w:themeColor="text1"/>
          <w:sz w:val="28"/>
          <w:szCs w:val="28"/>
          <w14:textFill>
            <w14:solidFill>
              <w14:schemeClr w14:val="tx1"/>
            </w14:solidFill>
          </w14:textFill>
        </w:rPr>
        <w:t>28</w:t>
      </w:r>
      <w:r>
        <w:rPr>
          <w:rFonts w:hint="eastAsia" w:ascii="仿宋_GB2312" w:hAnsi="仿宋_GB2312" w:eastAsia="仿宋_GB2312" w:cs="仿宋_GB2312"/>
          <w:color w:val="000000" w:themeColor="text1"/>
          <w:sz w:val="28"/>
          <w:szCs w:val="28"/>
          <w14:textFill>
            <w14:solidFill>
              <w14:schemeClr w14:val="tx1"/>
            </w14:solidFill>
          </w14:textFill>
        </w:rPr>
        <w:t>万吨。</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2.优化农业结构</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在保障粮食综合生产能力前提下，围绕“千斤粮、万元钱”，加快农业结构调整，增加果树、中药材、设施蔬菜等特色高效作物面积。一是重点抓好中药材、果品两大类优势特色产业，起到示范引领作用。以优势道地和药食同源品种为重点，扎实推进山楂、金银花两大中药材产业建设，重点打造马屯红果、坝营苹果、连庄金银花等特色作物种植，对清河山楂省级特优区实施高标准打造和整体提升。二是依托油坊大蒜、谢炉蔬菜等蔬菜种植基地，扩大设施蔬菜种植面积，到“十四五”末，实现蔬菜种植面积达到3.5万亩以上，总产达到8万吨以上。</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3.推进农业产业化</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培育精品农业园区。</w:t>
      </w:r>
      <w:r>
        <w:rPr>
          <w:rFonts w:hint="eastAsia" w:ascii="仿宋_GB2312" w:hAnsi="仿宋_GB2312" w:eastAsia="仿宋_GB2312" w:cs="仿宋_GB2312"/>
          <w:color w:val="000000" w:themeColor="text1"/>
          <w:sz w:val="28"/>
          <w:szCs w:val="28"/>
          <w14:textFill>
            <w14:solidFill>
              <w14:schemeClr w14:val="tx1"/>
            </w14:solidFill>
          </w14:textFill>
        </w:rPr>
        <w:t>“十四五”期间，重点推动农业园区提质增效，扩大农业园区覆盖面，重点支持</w:t>
      </w:r>
      <w:r>
        <w:rPr>
          <w:rFonts w:hint="eastAsia" w:ascii="仿宋_GB2312" w:hAnsi="仿宋_GB2312" w:eastAsia="仿宋_GB2312" w:cs="仿宋_GB2312"/>
          <w:color w:val="000000" w:themeColor="text1"/>
          <w:kern w:val="0"/>
          <w:sz w:val="28"/>
          <w:szCs w:val="28"/>
          <w:lang w:val="zh-CN"/>
          <w14:textFill>
            <w14:solidFill>
              <w14:schemeClr w14:val="tx1"/>
            </w14:solidFill>
          </w14:textFill>
        </w:rPr>
        <w:t>清河县现代农业示范园区</w:t>
      </w:r>
      <w:r>
        <w:rPr>
          <w:rFonts w:hint="eastAsia" w:ascii="仿宋_GB2312" w:hAnsi="仿宋_GB2312" w:eastAsia="仿宋_GB2312" w:cs="仿宋_GB2312"/>
          <w:color w:val="000000" w:themeColor="text1"/>
          <w:kern w:val="0"/>
          <w:sz w:val="28"/>
          <w:szCs w:val="28"/>
          <w14:textFill>
            <w14:solidFill>
              <w14:schemeClr w14:val="tx1"/>
            </w14:solidFill>
          </w14:textFill>
        </w:rPr>
        <w:t>争创国家级</w:t>
      </w:r>
      <w:r>
        <w:rPr>
          <w:rFonts w:hint="eastAsia" w:ascii="仿宋_GB2312" w:hAnsi="仿宋_GB2312" w:eastAsia="仿宋_GB2312" w:cs="仿宋_GB2312"/>
          <w:color w:val="000000" w:themeColor="text1"/>
          <w:sz w:val="28"/>
          <w:szCs w:val="28"/>
          <w14:textFill>
            <w14:solidFill>
              <w14:schemeClr w14:val="tx1"/>
            </w14:solidFill>
          </w14:textFill>
        </w:rPr>
        <w:t>精品农业园区，支持</w:t>
      </w:r>
      <w:r>
        <w:rPr>
          <w:rFonts w:hint="eastAsia" w:ascii="仿宋_GB2312" w:hAnsi="仿宋_GB2312" w:eastAsia="仿宋_GB2312" w:cs="仿宋_GB2312"/>
          <w:color w:val="000000" w:themeColor="text1"/>
          <w:kern w:val="0"/>
          <w:sz w:val="28"/>
          <w:szCs w:val="28"/>
          <w:lang w:val="zh-CN"/>
          <w14:textFill>
            <w14:solidFill>
              <w14:schemeClr w14:val="tx1"/>
            </w14:solidFill>
          </w14:textFill>
        </w:rPr>
        <w:t>坝营现代农业示范园区、谢炉镇现代农业示范园区、连庄镇现代农业示范园区、油坊镇现代农业示范园区</w:t>
      </w:r>
      <w:r>
        <w:rPr>
          <w:rFonts w:hint="eastAsia" w:ascii="仿宋_GB2312" w:hAnsi="仿宋_GB2312" w:eastAsia="仿宋_GB2312" w:cs="仿宋_GB2312"/>
          <w:color w:val="000000" w:themeColor="text1"/>
          <w:kern w:val="0"/>
          <w:sz w:val="28"/>
          <w:szCs w:val="28"/>
          <w14:textFill>
            <w14:solidFill>
              <w14:schemeClr w14:val="tx1"/>
            </w14:solidFill>
          </w14:textFill>
        </w:rPr>
        <w:t>争创省级精品农业园区。</w:t>
      </w:r>
      <w:r>
        <w:rPr>
          <w:rFonts w:hint="eastAsia" w:ascii="仿宋_GB2312" w:hAnsi="仿宋_GB2312" w:eastAsia="仿宋_GB2312" w:cs="仿宋_GB2312"/>
          <w:color w:val="000000" w:themeColor="text1"/>
          <w:sz w:val="28"/>
          <w:szCs w:val="28"/>
          <w14:textFill>
            <w14:solidFill>
              <w14:schemeClr w14:val="tx1"/>
            </w14:solidFill>
          </w14:textFill>
        </w:rPr>
        <w:t>力争到2025年，建成各类农业园区达到10个以上，初步形成1（国家级园区）+2（省级园区）+N（市级园区）的现代农业园区格局。</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培强新型经营主体。</w:t>
      </w:r>
      <w:r>
        <w:rPr>
          <w:rFonts w:hint="eastAsia" w:ascii="仿宋_GB2312" w:hAnsi="仿宋_GB2312" w:eastAsia="仿宋_GB2312" w:cs="仿宋_GB2312"/>
          <w:color w:val="000000" w:themeColor="text1"/>
          <w:sz w:val="28"/>
          <w:szCs w:val="28"/>
          <w14:textFill>
            <w14:solidFill>
              <w14:schemeClr w14:val="tx1"/>
            </w14:solidFill>
          </w14:textFill>
        </w:rPr>
        <w:t>支持专业大户、家庭农场、农民专业合作社等多种形式适度规模经营主体；引导经营主体将适度规模经营与农业产业链条延伸有机结合，引导农民通过联合、合作等多种方式发展规模种养业、农产品加工和农村服务业；支持有条件的乡村以农民合作社为主要载体，发展集循环农业、创意农业、农事体验于一体的田园综合体，促进一二三产融合发展。到“十四五”末，</w:t>
      </w:r>
      <w:r>
        <w:rPr>
          <w:rFonts w:hint="eastAsia" w:ascii="仿宋_GB2312" w:hAnsi="仿宋_GB2312" w:eastAsia="仿宋_GB2312" w:cs="仿宋_GB2312"/>
          <w:snapToGrid w:val="0"/>
          <w:color w:val="000000" w:themeColor="text1"/>
          <w:kern w:val="0"/>
          <w:sz w:val="28"/>
          <w:szCs w:val="28"/>
          <w14:textFill>
            <w14:solidFill>
              <w14:schemeClr w14:val="tx1"/>
            </w14:solidFill>
          </w14:textFill>
        </w:rPr>
        <w:t>全县实现新增国家级</w:t>
      </w:r>
      <w:r>
        <w:rPr>
          <w:rFonts w:hint="eastAsia" w:ascii="仿宋_GB2312" w:hAnsi="仿宋_GB2312" w:eastAsia="仿宋_GB2312" w:cs="仿宋_GB2312"/>
          <w:color w:val="000000" w:themeColor="text1"/>
          <w:sz w:val="28"/>
          <w:szCs w:val="28"/>
          <w14:textFill>
            <w14:solidFill>
              <w14:schemeClr w14:val="tx1"/>
            </w14:solidFill>
          </w14:textFill>
        </w:rPr>
        <w:t>专业合作社</w:t>
      </w:r>
      <w:r>
        <w:rPr>
          <w:rFonts w:hint="eastAsia" w:ascii="仿宋_GB2312" w:hAnsi="仿宋_GB2312" w:eastAsia="仿宋_GB2312" w:cs="仿宋_GB2312"/>
          <w:snapToGrid w:val="0"/>
          <w:color w:val="000000" w:themeColor="text1"/>
          <w:kern w:val="0"/>
          <w:sz w:val="28"/>
          <w:szCs w:val="28"/>
          <w14:textFill>
            <w14:solidFill>
              <w14:schemeClr w14:val="tx1"/>
            </w14:solidFill>
          </w14:textFill>
        </w:rPr>
        <w:t>示范社2家，新增</w:t>
      </w:r>
      <w:r>
        <w:rPr>
          <w:rFonts w:hint="eastAsia" w:ascii="仿宋_GB2312" w:hAnsi="仿宋_GB2312" w:eastAsia="仿宋_GB2312" w:cs="仿宋_GB2312"/>
          <w:color w:val="000000" w:themeColor="text1"/>
          <w:sz w:val="28"/>
          <w:szCs w:val="28"/>
          <w14:textFill>
            <w14:solidFill>
              <w14:schemeClr w14:val="tx1"/>
            </w14:solidFill>
          </w14:textFill>
        </w:rPr>
        <w:t>省级示范家庭农场10家以上。</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olor w:val="000000" w:themeColor="text1"/>
          <w:sz w:val="28"/>
          <w:szCs w:val="28"/>
          <w14:textFill>
            <w14:solidFill>
              <w14:schemeClr w14:val="tx1"/>
            </w14:solidFill>
          </w14:textFill>
        </w:rPr>
      </w:pPr>
      <w:r>
        <w:rPr>
          <w:rFonts w:hint="eastAsia" w:ascii="Times New Roman" w:hAnsi="Times New Roman" w:eastAsia="仿宋_GB2312" w:cs="Times New Roman"/>
          <w:b/>
          <w:bCs/>
          <w:color w:val="000000" w:themeColor="text1"/>
          <w:sz w:val="28"/>
          <w:szCs w:val="28"/>
          <w14:textFill>
            <w14:solidFill>
              <w14:schemeClr w14:val="tx1"/>
            </w14:solidFill>
          </w14:textFill>
        </w:rPr>
        <w:t>提升</w:t>
      </w:r>
      <w:r>
        <w:rPr>
          <w:rFonts w:ascii="Times New Roman" w:hAnsi="Times New Roman" w:eastAsia="仿宋_GB2312" w:cs="Times New Roman"/>
          <w:b/>
          <w:bCs/>
          <w:color w:val="000000" w:themeColor="text1"/>
          <w:sz w:val="28"/>
          <w:szCs w:val="28"/>
          <w14:textFill>
            <w14:solidFill>
              <w14:schemeClr w14:val="tx1"/>
            </w14:solidFill>
          </w14:textFill>
        </w:rPr>
        <w:t>农业产业化</w:t>
      </w:r>
      <w:r>
        <w:rPr>
          <w:rFonts w:hint="eastAsia" w:ascii="Times New Roman" w:hAnsi="Times New Roman" w:eastAsia="仿宋_GB2312" w:cs="Times New Roman"/>
          <w:b/>
          <w:bCs/>
          <w:color w:val="000000" w:themeColor="text1"/>
          <w:sz w:val="28"/>
          <w:szCs w:val="28"/>
          <w14:textFill>
            <w14:solidFill>
              <w14:schemeClr w14:val="tx1"/>
            </w14:solidFill>
          </w14:textFill>
        </w:rPr>
        <w:t>水平</w:t>
      </w:r>
      <w:r>
        <w:rPr>
          <w:rFonts w:hint="eastAsia" w:ascii="Times New Roman" w:hAnsi="Times New Roman" w:eastAsia="仿宋_GB2312" w:cs="Times New Roman"/>
          <w:b/>
          <w:bCs/>
          <w:color w:val="000000" w:themeColor="text1"/>
          <w:sz w:val="28"/>
          <w:szCs w:val="28"/>
          <w:lang w:eastAsia="zh-CN"/>
          <w14:textFill>
            <w14:solidFill>
              <w14:schemeClr w14:val="tx1"/>
            </w14:solidFill>
          </w14:textFill>
        </w:rPr>
        <w:t>。</w:t>
      </w:r>
      <w:r>
        <w:rPr>
          <w:rFonts w:hint="eastAsia" w:ascii="仿宋_GB2312" w:hAnsi="仿宋_GB2312" w:eastAsia="仿宋_GB2312"/>
          <w:color w:val="000000" w:themeColor="text1"/>
          <w:sz w:val="28"/>
          <w:szCs w:val="28"/>
          <w14:textFill>
            <w14:solidFill>
              <w14:schemeClr w14:val="tx1"/>
            </w14:solidFill>
          </w14:textFill>
        </w:rPr>
        <w:t>按照“自愿、互利”和“民办、民管、民受益”的原则，大力规范发展农民专业合作社、农业产业化联合体等新型农业经营主体。充分发挥专业合作组织在产业体系中内联农户、外接市场的作用，搞好与龙头企业和市场的对接，大力推广“龙头企业+基地+专业合作社+农户”等农业产业化组织形式，通过建立多种形式的利益联结机制，密切龙头企业、基地、专业合作社和农户联系，形成更加紧密的经济利益共同体，不断提升农业产业化水平。发挥紧邻山东农业大省优势，力争引进500万以上农业项目10个。到“十四五”末，全县农业产业化经营率达到80%，省级龙头企业发展到5家，新增销售收入亿元以上龙头企业1家以上。</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2" w:firstLineChars="200"/>
        <w:textAlignment w:val="auto"/>
        <w:rPr>
          <w:rFonts w:hint="eastAsia"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b/>
          <w:bCs/>
          <w:color w:val="000000" w:themeColor="text1"/>
          <w:sz w:val="28"/>
          <w:szCs w:val="28"/>
          <w14:textFill>
            <w14:solidFill>
              <w14:schemeClr w14:val="tx1"/>
            </w14:solidFill>
          </w14:textFill>
        </w:rPr>
        <w:t>大力发展品牌农业。</w:t>
      </w:r>
      <w:r>
        <w:rPr>
          <w:rFonts w:hint="eastAsia" w:ascii="仿宋_GB2312" w:hAnsi="仿宋_GB2312" w:eastAsia="仿宋_GB2312"/>
          <w:color w:val="000000" w:themeColor="text1"/>
          <w:sz w:val="28"/>
          <w:szCs w:val="28"/>
          <w14:textFill>
            <w14:solidFill>
              <w14:schemeClr w14:val="tx1"/>
            </w14:solidFill>
          </w14:textFill>
        </w:rPr>
        <w:t>强化品牌意识和精品意识，大力推进有机农产品和绿色食品认证。积极培育名牌农产品，促进优质、安全农产品生产上规模、上档次，出特色，创品牌。加大区域公用品牌“清河里”和农产品地理标志“清河山楂”的宣传培育力度，开展多种形式的品牌宣传、展示和推介活动，提高特色农产品市场认可度和知名度。</w:t>
      </w:r>
      <w:bookmarkStart w:id="180" w:name="_Toc2222"/>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0" w:firstLineChars="200"/>
        <w:textAlignment w:val="auto"/>
        <w:rPr>
          <w:rFonts w:ascii="楷体_GB2312" w:hAnsi="楷体_GB2312" w:eastAsia="楷体_GB2312" w:cs="楷体_GB2312"/>
          <w:b w:val="0"/>
          <w:bCs/>
          <w:color w:val="000000" w:themeColor="text1"/>
          <w:kern w:val="0"/>
          <w:sz w:val="28"/>
          <w:szCs w:val="28"/>
          <w14:textFill>
            <w14:solidFill>
              <w14:schemeClr w14:val="tx1"/>
            </w14:solidFill>
          </w14:textFill>
        </w:rPr>
      </w:pPr>
      <w:r>
        <w:rPr>
          <w:rFonts w:hint="eastAsia" w:ascii="楷体_GB2312" w:hAnsi="楷体_GB2312" w:eastAsia="楷体_GB2312" w:cs="楷体_GB2312"/>
          <w:b w:val="0"/>
          <w:bCs/>
          <w:color w:val="000000" w:themeColor="text1"/>
          <w:kern w:val="0"/>
          <w:sz w:val="28"/>
          <w:szCs w:val="28"/>
          <w14:textFill>
            <w14:solidFill>
              <w14:schemeClr w14:val="tx1"/>
            </w14:solidFill>
          </w14:textFill>
        </w:rPr>
        <w:t>（二）</w:t>
      </w:r>
      <w:r>
        <w:rPr>
          <w:rFonts w:hint="eastAsia" w:ascii="楷体_GB2312" w:hAnsi="楷体_GB2312" w:eastAsia="楷体_GB2312" w:cs="楷体_GB2312"/>
          <w:b w:val="0"/>
          <w:bCs/>
          <w:color w:val="000000" w:themeColor="text1"/>
          <w:kern w:val="0"/>
          <w:sz w:val="28"/>
          <w:szCs w:val="28"/>
          <w:lang w:val="zh-CN"/>
          <w14:textFill>
            <w14:solidFill>
              <w14:schemeClr w14:val="tx1"/>
            </w14:solidFill>
          </w14:textFill>
        </w:rPr>
        <w:t>着力推进制造业高端化</w:t>
      </w:r>
      <w:bookmarkEnd w:id="180"/>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按照“羊绒产业创品牌、汽车及零部件产业育龙头、稀有金属产业引人</w:t>
      </w:r>
      <w:r>
        <w:rPr>
          <w:rFonts w:hint="eastAsia" w:ascii="仿宋_GB2312" w:hAnsi="仿宋_GB2312" w:eastAsia="仿宋_GB2312" w:cs="仿宋_GB2312"/>
          <w:color w:val="000000" w:themeColor="text1"/>
          <w:kern w:val="0"/>
          <w:sz w:val="28"/>
          <w:szCs w:val="28"/>
          <w:lang w:bidi="ar"/>
          <w14:textFill>
            <w14:solidFill>
              <w14:schemeClr w14:val="tx1"/>
            </w14:solidFill>
          </w14:textFill>
        </w:rPr>
        <w:t>才、耐火材料产业拓市场”的思路，固</w:t>
      </w:r>
      <w:r>
        <w:rPr>
          <w:rFonts w:hint="eastAsia" w:ascii="仿宋_GB2312" w:hAnsi="仿宋_GB2312" w:eastAsia="仿宋_GB2312" w:cs="仿宋_GB2312"/>
          <w:color w:val="000000" w:themeColor="text1"/>
          <w:sz w:val="28"/>
          <w:szCs w:val="28"/>
          <w14:textFill>
            <w14:solidFill>
              <w14:schemeClr w14:val="tx1"/>
            </w14:solidFill>
          </w14:textFill>
        </w:rPr>
        <w:t>根基、扬优势、补短板、强弱项，全力打好产业升级攻坚战，加快推进产业基础高级化、产业链条现代化。到2025年，实现特色产业营业收入超千亿元，比2</w:t>
      </w:r>
      <w:r>
        <w:rPr>
          <w:rFonts w:ascii="仿宋_GB2312" w:hAnsi="仿宋_GB2312" w:eastAsia="仿宋_GB2312" w:cs="仿宋_GB2312"/>
          <w:color w:val="000000" w:themeColor="text1"/>
          <w:sz w:val="28"/>
          <w:szCs w:val="28"/>
          <w14:textFill>
            <w14:solidFill>
              <w14:schemeClr w14:val="tx1"/>
            </w14:solidFill>
          </w14:textFill>
        </w:rPr>
        <w:t>020</w:t>
      </w:r>
      <w:r>
        <w:rPr>
          <w:rFonts w:hint="eastAsia" w:ascii="仿宋_GB2312" w:hAnsi="仿宋_GB2312" w:eastAsia="仿宋_GB2312" w:cs="仿宋_GB2312"/>
          <w:color w:val="000000" w:themeColor="text1"/>
          <w:sz w:val="28"/>
          <w:szCs w:val="28"/>
          <w14:textFill>
            <w14:solidFill>
              <w14:schemeClr w14:val="tx1"/>
            </w14:solidFill>
          </w14:textFill>
        </w:rPr>
        <w:t>年翻一番；新兴产业裂变式增长，挑起大梁，高新技术产业在规上企业比重保持在</w:t>
      </w:r>
      <w:r>
        <w:rPr>
          <w:rFonts w:ascii="仿宋_GB2312" w:hAnsi="仿宋_GB2312" w:eastAsia="仿宋_GB2312" w:cs="仿宋_GB2312"/>
          <w:color w:val="000000" w:themeColor="text1"/>
          <w:sz w:val="28"/>
          <w:szCs w:val="28"/>
          <w14:textFill>
            <w14:solidFill>
              <w14:schemeClr w14:val="tx1"/>
            </w14:solidFill>
          </w14:textFill>
        </w:rPr>
        <w:t>30</w:t>
      </w:r>
      <w:r>
        <w:rPr>
          <w:rFonts w:hint="eastAsia" w:ascii="仿宋_GB2312" w:hAnsi="仿宋_GB2312" w:eastAsia="仿宋_GB2312" w:cs="仿宋_GB2312"/>
          <w:color w:val="000000" w:themeColor="text1"/>
          <w:sz w:val="28"/>
          <w:szCs w:val="28"/>
          <w14:textFill>
            <w14:solidFill>
              <w14:schemeClr w14:val="tx1"/>
            </w14:solidFill>
          </w14:textFill>
        </w:rPr>
        <w:t>%以上。</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1.羊绒产业</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color w:val="000000" w:themeColor="text1"/>
          <w:spacing w:val="-6"/>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强化政策激励引导，加快由目前初加工主导的中低端向时尚制品主导的中高端迈进、由量上以吨论价向质上以克论价升级，提高品牌、设计、文化等元素附加值，创建具有国际水平的时尚创意产业集群，全力打造“羊</w:t>
      </w:r>
      <w:r>
        <w:rPr>
          <w:rFonts w:hint="eastAsia" w:ascii="仿宋_GB2312" w:hAnsi="仿宋_GB2312" w:eastAsia="仿宋_GB2312" w:cs="仿宋_GB2312"/>
          <w:color w:val="000000" w:themeColor="text1"/>
          <w:spacing w:val="-6"/>
          <w:sz w:val="28"/>
          <w:szCs w:val="28"/>
          <w14:textFill>
            <w14:solidFill>
              <w14:schemeClr w14:val="tx1"/>
            </w14:solidFill>
          </w14:textFill>
        </w:rPr>
        <w:t>绒之都，世界绒谷”。</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38" w:firstLineChars="200"/>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b/>
          <w:color w:val="000000" w:themeColor="text1"/>
          <w:spacing w:val="-6"/>
          <w:kern w:val="0"/>
          <w:sz w:val="28"/>
          <w:szCs w:val="28"/>
          <w:lang w:bidi="ar"/>
          <w14:textFill>
            <w14:solidFill>
              <w14:schemeClr w14:val="tx1"/>
            </w14:solidFill>
          </w14:textFill>
        </w:rPr>
        <w:t>巩固优化分梳。</w:t>
      </w:r>
      <w:r>
        <w:rPr>
          <w:rFonts w:hint="eastAsia" w:ascii="仿宋_GB2312" w:hAnsi="仿宋_GB2312" w:eastAsia="仿宋_GB2312" w:cs="仿宋_GB2312"/>
          <w:color w:val="000000" w:themeColor="text1"/>
          <w:spacing w:val="-6"/>
          <w:kern w:val="0"/>
          <w:sz w:val="28"/>
          <w:szCs w:val="28"/>
          <w:lang w:bidi="ar"/>
          <w14:textFill>
            <w14:solidFill>
              <w14:schemeClr w14:val="tx1"/>
            </w14:solidFill>
          </w14:textFill>
        </w:rPr>
        <w:t>积极引导企业技改升级，大力推动标准化分梳，提升成品绒品质，进一步巩固清河羊绒原料加工基地优势地位。</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b/>
          <w:color w:val="000000" w:themeColor="text1"/>
          <w:kern w:val="0"/>
          <w:sz w:val="28"/>
          <w:szCs w:val="28"/>
          <w:lang w:bidi="ar"/>
          <w14:textFill>
            <w14:solidFill>
              <w14:schemeClr w14:val="tx1"/>
            </w14:solidFill>
          </w14:textFill>
        </w:rPr>
        <w:t>壮大提升纺纱。</w:t>
      </w:r>
      <w:r>
        <w:rPr>
          <w:rFonts w:hint="eastAsia" w:ascii="仿宋_GB2312" w:hAnsi="仿宋_GB2312" w:eastAsia="仿宋_GB2312" w:cs="仿宋_GB2312"/>
          <w:color w:val="000000" w:themeColor="text1"/>
          <w:kern w:val="0"/>
          <w:sz w:val="28"/>
          <w:szCs w:val="28"/>
          <w:lang w:bidi="ar"/>
          <w14:textFill>
            <w14:solidFill>
              <w14:schemeClr w14:val="tx1"/>
            </w14:solidFill>
          </w14:textFill>
        </w:rPr>
        <w:t>筹建新型纱线面料试样中心，推广应用石墨烯、海洋细胞、功能纱、花式纱等多元化工艺及材料，加快新型纱线、新型面料开发，打造全国知名的羊绒纺纱基地。</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lang w:bidi="ar"/>
          <w14:textFill>
            <w14:solidFill>
              <w14:schemeClr w14:val="tx1"/>
            </w14:solidFill>
          </w14:textFill>
        </w:rPr>
        <w:t>做强针织梭织。</w:t>
      </w:r>
      <w:r>
        <w:rPr>
          <w:rFonts w:hint="eastAsia" w:ascii="仿宋_GB2312" w:hAnsi="仿宋_GB2312" w:eastAsia="仿宋_GB2312" w:cs="仿宋_GB2312"/>
          <w:color w:val="000000" w:themeColor="text1"/>
          <w:sz w:val="28"/>
          <w:szCs w:val="28"/>
          <w14:textFill>
            <w14:solidFill>
              <w14:schemeClr w14:val="tx1"/>
            </w14:solidFill>
          </w14:textFill>
        </w:rPr>
        <w:t>筹建标准化针织示范园，开展装备智能化革命，积极推广“织可穿”一线成衣智能设备，快速壮大中高端针织梭织产能。加快中汇公司智慧工厂和数字车间建设，普及柔性织造和个性化定制，提高供应链协同和快速反应能力。</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lang w:bidi="ar"/>
          <w14:textFill>
            <w14:solidFill>
              <w14:schemeClr w14:val="tx1"/>
            </w14:solidFill>
          </w14:textFill>
        </w:rPr>
        <w:t>丰富时尚精品。</w:t>
      </w:r>
      <w:r>
        <w:rPr>
          <w:rFonts w:hint="eastAsia" w:ascii="仿宋_GB2312" w:hAnsi="仿宋_GB2312" w:eastAsia="仿宋_GB2312" w:cs="仿宋_GB2312"/>
          <w:color w:val="000000" w:themeColor="text1"/>
          <w:sz w:val="28"/>
          <w:szCs w:val="28"/>
          <w14:textFill>
            <w14:solidFill>
              <w14:schemeClr w14:val="tx1"/>
            </w14:solidFill>
          </w14:textFill>
        </w:rPr>
        <w:t>与中国服装协会、中国流行色协会等行业协会、知名设计机构深入合作，引进优质设计资源，做大做强原创设计展示中心，建设羊绒服饰打版中心，加快设计原创化，产品四季化、时尚化、个性化、精品化，提升美誉度。</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lang w:bidi="ar"/>
          <w14:textFill>
            <w14:solidFill>
              <w14:schemeClr w14:val="tx1"/>
            </w14:solidFill>
          </w14:textFill>
        </w:rPr>
        <w:t>培大创响品牌。</w:t>
      </w:r>
      <w:r>
        <w:rPr>
          <w:rFonts w:hint="eastAsia" w:ascii="仿宋_GB2312" w:hAnsi="仿宋_GB2312" w:eastAsia="仿宋_GB2312" w:cs="仿宋_GB2312"/>
          <w:color w:val="000000" w:themeColor="text1"/>
          <w:sz w:val="28"/>
          <w:szCs w:val="28"/>
          <w14:textFill>
            <w14:solidFill>
              <w14:schemeClr w14:val="tx1"/>
            </w14:solidFill>
          </w14:textFill>
        </w:rPr>
        <w:t>推进“品质革命”，加强质量管控，推广质量溯源体系，倒逼企业提品质、创品牌。进一步壮大参展群体、提升参展层次，扩大清河羊绒在国内外高端展会的品牌影响力，加速走上米兰、纽约等国际时尚舞台；精心办好清河国际羊绒及绒毛制品交易会；利用央视、高铁站、机场等，大力宣传清河羊绒和企业自主品牌，提升产业知名度和影响力。</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lang w:bidi="ar"/>
          <w14:textFill>
            <w14:solidFill>
              <w14:schemeClr w14:val="tx1"/>
            </w14:solidFill>
          </w14:textFill>
        </w:rPr>
        <w:t>繁荣多元市场。</w:t>
      </w:r>
      <w:r>
        <w:rPr>
          <w:rFonts w:hint="eastAsia" w:ascii="仿宋_GB2312" w:hAnsi="仿宋_GB2312" w:eastAsia="仿宋_GB2312" w:cs="仿宋_GB2312"/>
          <w:color w:val="000000" w:themeColor="text1"/>
          <w:sz w:val="28"/>
          <w:szCs w:val="28"/>
          <w14:textFill>
            <w14:solidFill>
              <w14:schemeClr w14:val="tx1"/>
            </w14:solidFill>
          </w14:textFill>
        </w:rPr>
        <w:t>积极拓展多元化销售渠道，加强与中纺联合作，精准对接国内服装批发资源，筹划“清河羊绒”百城巡展和社群分销，支持企业在国内外开设旗舰店，拓宽线下市场。完善清河网红直播培训基地，跨境电商园争创省级众创空间，积极发展“网红直播”、跨境电商等新业态；建设羊绒产业线上公共服务平台、电子商务大数据中心，利用数据信息指导企业、引导市场，巩固线上优势。</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lang w:bidi="ar"/>
          <w14:textFill>
            <w14:solidFill>
              <w14:schemeClr w14:val="tx1"/>
            </w14:solidFill>
          </w14:textFill>
        </w:rPr>
        <w:t>完善行业标准。</w:t>
      </w:r>
      <w:r>
        <w:rPr>
          <w:rFonts w:hint="eastAsia" w:ascii="仿宋_GB2312" w:hAnsi="仿宋_GB2312" w:eastAsia="仿宋_GB2312" w:cs="仿宋_GB2312"/>
          <w:color w:val="000000" w:themeColor="text1"/>
          <w:sz w:val="28"/>
          <w:szCs w:val="28"/>
          <w14:textFill>
            <w14:solidFill>
              <w14:schemeClr w14:val="tx1"/>
            </w14:solidFill>
          </w14:textFill>
        </w:rPr>
        <w:t>加快筹建绵羊绒标准化分梳基地，联合中国畜产品流通协会，推动绵羊绒团体标准制定，积极组织企业参与羊绒纺织、成衣等行业标准修订，提升清河羊绒话语权和竞争力。</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b/>
          <w:color w:val="000000" w:themeColor="text1"/>
          <w:sz w:val="28"/>
          <w:szCs w:val="28"/>
          <w:lang w:bidi="ar"/>
          <w14:textFill>
            <w14:solidFill>
              <w14:schemeClr w14:val="tx1"/>
            </w14:solidFill>
          </w14:textFill>
        </w:rPr>
      </w:pPr>
      <w:r>
        <w:rPr>
          <w:rFonts w:hint="eastAsia" w:ascii="仿宋_GB2312" w:hAnsi="仿宋_GB2312" w:eastAsia="仿宋_GB2312" w:cs="仿宋_GB2312"/>
          <w:b/>
          <w:color w:val="000000" w:themeColor="text1"/>
          <w:sz w:val="28"/>
          <w:szCs w:val="28"/>
          <w:lang w:bidi="ar"/>
          <w14:textFill>
            <w14:solidFill>
              <w14:schemeClr w14:val="tx1"/>
            </w14:solidFill>
          </w14:textFill>
        </w:rPr>
        <w:t>2.汽车及零部件产业</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b/>
          <w:color w:val="000000" w:themeColor="text1"/>
          <w:kern w:val="0"/>
          <w:sz w:val="28"/>
          <w:szCs w:val="28"/>
          <w:lang w:bidi="ar"/>
          <w14:textFill>
            <w14:solidFill>
              <w14:schemeClr w14:val="tx1"/>
            </w14:solidFill>
          </w14:textFill>
        </w:rPr>
        <w:t>做精整车。</w:t>
      </w:r>
      <w:r>
        <w:rPr>
          <w:rFonts w:hint="eastAsia" w:ascii="仿宋_GB2312" w:hAnsi="仿宋_GB2312" w:eastAsia="仿宋_GB2312" w:cs="仿宋_GB2312"/>
          <w:color w:val="000000" w:themeColor="text1"/>
          <w:kern w:val="0"/>
          <w:sz w:val="28"/>
          <w:szCs w:val="28"/>
          <w:lang w:bidi="ar"/>
          <w14:textFill>
            <w14:solidFill>
              <w14:schemeClr w14:val="tx1"/>
            </w14:solidFill>
          </w14:textFill>
        </w:rPr>
        <w:t>全力扶持领途汽车尽快重组投产，带动零部件企业增品种、提品质。</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lang w:bidi="ar"/>
          <w14:textFill>
            <w14:solidFill>
              <w14:schemeClr w14:val="tx1"/>
            </w14:solidFill>
          </w14:textFill>
        </w:rPr>
        <w:t>做强配套。</w:t>
      </w:r>
      <w:r>
        <w:rPr>
          <w:rFonts w:hint="eastAsia" w:ascii="仿宋_GB2312" w:hAnsi="仿宋_GB2312" w:eastAsia="仿宋_GB2312" w:cs="仿宋_GB2312"/>
          <w:color w:val="000000" w:themeColor="text1"/>
          <w:sz w:val="28"/>
          <w:szCs w:val="28"/>
          <w14:textFill>
            <w14:solidFill>
              <w14:schemeClr w14:val="tx1"/>
            </w14:solidFill>
          </w14:textFill>
        </w:rPr>
        <w:t>发挥中科院品牌效应，加快人才技术引进和科技成果转化，加速橡塑制品轻量化、绿色化。全力推动亿利静电纺产业园建设，加快对汽车过滤具有革命性、颠覆性的静电纺国际领先技术在清河落地，推动我县车用过滤向工业过滤、民用过滤、医用过滤、军用过滤拓展，打造全国滤料交易中心和过滤产业基地。</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lang w:bidi="ar"/>
          <w14:textFill>
            <w14:solidFill>
              <w14:schemeClr w14:val="tx1"/>
            </w14:solidFill>
          </w14:textFill>
        </w:rPr>
        <w:t>做大市场。</w:t>
      </w:r>
      <w:r>
        <w:rPr>
          <w:rFonts w:hint="eastAsia" w:ascii="仿宋_GB2312" w:hAnsi="仿宋_GB2312" w:eastAsia="仿宋_GB2312" w:cs="仿宋_GB2312"/>
          <w:color w:val="000000" w:themeColor="text1"/>
          <w:sz w:val="28"/>
          <w:szCs w:val="28"/>
          <w14:textFill>
            <w14:solidFill>
              <w14:schemeClr w14:val="tx1"/>
            </w14:solidFill>
          </w14:textFill>
        </w:rPr>
        <w:t>鼓励企业提升配套层次，扩大与合资车厂配套份额。以清河滤清器等区域品牌组团参加国内外高端展会，扩大清河汽配交易博览会规模，提高汽车后市场占有率。筹建汽车零部件智能交易平台，吸引国内外品牌连锁仓储公司和原材料企业入驻，打造全国知名的汽车易损件采购基地。积极培育壮大汽配供应链平台，做优服务连锁，做大下沉市场，打造全国知名的线上汽配城。</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b/>
          <w:color w:val="000000" w:themeColor="text1"/>
          <w:sz w:val="28"/>
          <w:szCs w:val="28"/>
          <w:lang w:bidi="ar"/>
          <w14:textFill>
            <w14:solidFill>
              <w14:schemeClr w14:val="tx1"/>
            </w14:solidFill>
          </w14:textFill>
        </w:rPr>
      </w:pPr>
      <w:r>
        <w:rPr>
          <w:rFonts w:hint="eastAsia" w:ascii="仿宋_GB2312" w:hAnsi="仿宋_GB2312" w:eastAsia="仿宋_GB2312" w:cs="仿宋_GB2312"/>
          <w:b/>
          <w:color w:val="000000" w:themeColor="text1"/>
          <w:sz w:val="28"/>
          <w:szCs w:val="28"/>
          <w:lang w:bidi="ar"/>
          <w14:textFill>
            <w14:solidFill>
              <w14:schemeClr w14:val="tx1"/>
            </w14:solidFill>
          </w14:textFill>
        </w:rPr>
        <w:t>3.战略金属及耐火材料产业</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lang w:bidi="ar"/>
          <w14:textFill>
            <w14:solidFill>
              <w14:schemeClr w14:val="tx1"/>
            </w14:solidFill>
          </w14:textFill>
        </w:rPr>
        <w:t>高温合金扩能延链。</w:t>
      </w:r>
      <w:r>
        <w:rPr>
          <w:rFonts w:hint="eastAsia" w:ascii="仿宋_GB2312" w:hAnsi="仿宋_GB2312" w:eastAsia="仿宋_GB2312" w:cs="仿宋_GB2312"/>
          <w:color w:val="000000" w:themeColor="text1"/>
          <w:sz w:val="28"/>
          <w:szCs w:val="28"/>
          <w14:textFill>
            <w14:solidFill>
              <w14:schemeClr w14:val="tx1"/>
            </w14:solidFill>
          </w14:textFill>
        </w:rPr>
        <w:t>强化科技研发和技术改造，扩大废旧合金再生利用和高温合金生产规模、提升产品质量、丰富产品品类，增强产业配套协作能力。支持中航上大关键战略保障材料产能释放，加快高性能高质量航空用高温合金锻造项目建设，聚集上下游企业，延展产业链条。</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lang w:bidi="ar"/>
          <w14:textFill>
            <w14:solidFill>
              <w14:schemeClr w14:val="tx1"/>
            </w14:solidFill>
          </w14:textFill>
        </w:rPr>
        <w:t>废钨合金再生提质。</w:t>
      </w:r>
      <w:r>
        <w:rPr>
          <w:rFonts w:hint="eastAsia" w:ascii="仿宋_GB2312" w:hAnsi="仿宋_GB2312" w:eastAsia="仿宋_GB2312" w:cs="仿宋_GB2312"/>
          <w:color w:val="000000" w:themeColor="text1"/>
          <w:sz w:val="28"/>
          <w:szCs w:val="28"/>
          <w14:textFill>
            <w14:solidFill>
              <w14:schemeClr w14:val="tx1"/>
            </w14:solidFill>
          </w14:textFill>
        </w:rPr>
        <w:t>推动清河数控刀具切削刀具协会与中国钨业协会建立全方位、多角度、多层次长期稳定合作机制，加强与中南大学、北京理工大学等院校合作，优化工艺流程，搭建产品检测平台，提高废钨合金再生能力，提升再生品质，加快由废旧合金集散主导向高端数控刀具再生利用升级，加快钨资源再生利用试验基地建设</w:t>
      </w:r>
      <w:r>
        <w:rPr>
          <w:rFonts w:hint="eastAsia" w:ascii="仿宋_GB2312" w:hAnsi="仿宋_GB2312" w:eastAsia="仿宋_GB2312" w:cs="仿宋_GB2312"/>
          <w:color w:val="000000" w:themeColor="text1"/>
          <w:sz w:val="28"/>
          <w:szCs w:val="28"/>
          <w:lang w:val="zh-CN"/>
          <w14:textFill>
            <w14:solidFill>
              <w14:schemeClr w14:val="tx1"/>
            </w14:solidFill>
          </w14:textFill>
        </w:rPr>
        <w:t>，助推“清河制造”向“清河智造”转变</w:t>
      </w:r>
      <w:r>
        <w:rPr>
          <w:rFonts w:hint="eastAsia" w:ascii="仿宋_GB2312" w:hAnsi="仿宋_GB2312" w:eastAsia="仿宋_GB2312" w:cs="仿宋_GB2312"/>
          <w:color w:val="000000" w:themeColor="text1"/>
          <w:sz w:val="28"/>
          <w:szCs w:val="28"/>
          <w14:textFill>
            <w14:solidFill>
              <w14:schemeClr w14:val="tx1"/>
            </w14:solidFill>
          </w14:textFill>
        </w:rPr>
        <w:t>。“十四五”期间，谋划建设</w:t>
      </w:r>
      <w:r>
        <w:rPr>
          <w:rFonts w:hint="eastAsia" w:ascii="仿宋_GB2312" w:hAnsi="仿宋_GB2312" w:eastAsia="仿宋_GB2312" w:cs="仿宋_GB2312"/>
          <w:color w:val="000000" w:themeColor="text1"/>
          <w:sz w:val="28"/>
          <w:szCs w:val="28"/>
          <w:lang w:val="zh-CN"/>
          <w14:textFill>
            <w14:solidFill>
              <w14:schemeClr w14:val="tx1"/>
            </w14:solidFill>
          </w14:textFill>
        </w:rPr>
        <w:t>废旧稀有金属交易中心、</w:t>
      </w:r>
      <w:r>
        <w:rPr>
          <w:rFonts w:hint="eastAsia" w:ascii="仿宋_GB2312" w:hAnsi="仿宋_GB2312" w:eastAsia="仿宋_GB2312" w:cs="仿宋_GB2312"/>
          <w:color w:val="000000" w:themeColor="text1"/>
          <w:sz w:val="28"/>
          <w:szCs w:val="28"/>
          <w14:textFill>
            <w14:solidFill>
              <w14:schemeClr w14:val="tx1"/>
            </w14:solidFill>
          </w14:textFill>
        </w:rPr>
        <w:t>硬质合金工具交易中心两大交易平台，提升清河市场影响力和品牌效应。</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lang w:bidi="ar"/>
          <w14:textFill>
            <w14:solidFill>
              <w14:schemeClr w14:val="tx1"/>
            </w14:solidFill>
          </w14:textFill>
        </w:rPr>
        <w:t>耐火材料壮大升级。</w:t>
      </w:r>
      <w:r>
        <w:rPr>
          <w:rFonts w:ascii="仿宋_GB2312" w:hAnsi="仿宋_GB2312" w:eastAsia="仿宋_GB2312" w:cs="仿宋_GB2312"/>
          <w:color w:val="000000" w:themeColor="text1"/>
          <w:sz w:val="28"/>
          <w:szCs w:val="28"/>
          <w14:textFill>
            <w14:solidFill>
              <w14:schemeClr w14:val="tx1"/>
            </w14:solidFill>
          </w14:textFill>
        </w:rPr>
        <w:t>以市场为导向，依托区域要素优势及产业发展基础，以改造升级项目带动园区建设，骨干企业以产品升级、节能减排为重点，把清河县建设成为体量不大</w:t>
      </w:r>
      <w:r>
        <w:rPr>
          <w:rFonts w:hint="eastAsia" w:ascii="仿宋_GB2312" w:hAnsi="仿宋_GB2312" w:eastAsia="仿宋_GB2312" w:cs="仿宋_GB2312"/>
          <w:color w:val="000000" w:themeColor="text1"/>
          <w:sz w:val="28"/>
          <w:szCs w:val="28"/>
          <w14:textFill>
            <w14:solidFill>
              <w14:schemeClr w14:val="tx1"/>
            </w14:solidFill>
          </w14:textFill>
        </w:rPr>
        <w:t>，</w:t>
      </w:r>
      <w:r>
        <w:rPr>
          <w:rFonts w:ascii="仿宋_GB2312" w:hAnsi="仿宋_GB2312" w:eastAsia="仿宋_GB2312" w:cs="仿宋_GB2312"/>
          <w:color w:val="000000" w:themeColor="text1"/>
          <w:sz w:val="28"/>
          <w:szCs w:val="28"/>
          <w14:textFill>
            <w14:solidFill>
              <w14:schemeClr w14:val="tx1"/>
            </w14:solidFill>
          </w14:textFill>
        </w:rPr>
        <w:t>但有特色的全国耐火材料产业示范基地。以现有骨干企业为先导，在引进资本、技术和加快新型工业化的基础上，改造整合，培育一批具有国内外先进水平的企业集团。</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b/>
          <w:color w:val="000000" w:themeColor="text1"/>
          <w:sz w:val="28"/>
          <w:szCs w:val="28"/>
          <w:lang w:bidi="ar"/>
          <w14:textFill>
            <w14:solidFill>
              <w14:schemeClr w14:val="tx1"/>
            </w14:solidFill>
          </w14:textFill>
        </w:rPr>
      </w:pPr>
      <w:r>
        <w:rPr>
          <w:rFonts w:hint="eastAsia" w:ascii="仿宋_GB2312" w:hAnsi="仿宋_GB2312" w:eastAsia="仿宋_GB2312" w:cs="仿宋_GB2312"/>
          <w:b/>
          <w:color w:val="000000" w:themeColor="text1"/>
          <w:sz w:val="28"/>
          <w:szCs w:val="28"/>
          <w:lang w:bidi="ar"/>
          <w14:textFill>
            <w14:solidFill>
              <w14:schemeClr w14:val="tx1"/>
            </w14:solidFill>
          </w14:textFill>
        </w:rPr>
        <w:t>4.战略性新兴产业</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紧紧抓住国家发展战略性新兴产业的重要机遇，大力开展</w:t>
      </w:r>
      <w:r>
        <w:rPr>
          <w:rFonts w:hint="eastAsia" w:ascii="仿宋_GB2312" w:hAnsi="仿宋_GB2312" w:eastAsia="仿宋_GB2312" w:cs="仿宋_GB2312"/>
          <w:color w:val="000000" w:themeColor="text1"/>
          <w:sz w:val="28"/>
          <w:szCs w:val="28"/>
          <w14:textFill>
            <w14:solidFill>
              <w14:schemeClr w14:val="tx1"/>
            </w14:solidFill>
          </w14:textFill>
        </w:rPr>
        <w:t>招商选资</w:t>
      </w:r>
      <w:r>
        <w:rPr>
          <w:rFonts w:ascii="仿宋_GB2312" w:hAnsi="仿宋_GB2312" w:eastAsia="仿宋_GB2312" w:cs="仿宋_GB2312"/>
          <w:color w:val="000000" w:themeColor="text1"/>
          <w:sz w:val="28"/>
          <w:szCs w:val="28"/>
          <w14:textFill>
            <w14:solidFill>
              <w14:schemeClr w14:val="tx1"/>
            </w14:solidFill>
          </w14:textFill>
        </w:rPr>
        <w:t>，瞄准新能源、新材料、节能环保、高端装备制造、新一代信息技术等领域，引进一批市场前景好、科技含量高的战略性新兴产业项目。</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2" w:firstLineChars="200"/>
        <w:textAlignment w:val="auto"/>
        <w:rPr>
          <w:rFonts w:ascii="仿宋_GB2312" w:eastAsia="仿宋_GB2312"/>
          <w:color w:val="000000" w:themeColor="text1"/>
          <w:sz w:val="28"/>
          <w:szCs w:val="28"/>
          <w14:textFill>
            <w14:solidFill>
              <w14:schemeClr w14:val="tx1"/>
            </w14:solidFill>
          </w14:textFill>
        </w:rPr>
      </w:pPr>
      <w:r>
        <w:rPr>
          <w:rFonts w:hint="eastAsia" w:ascii="Times New Roman" w:hAnsi="Times New Roman" w:eastAsia="仿宋_GB2312" w:cs="Times New Roman"/>
          <w:b/>
          <w:bCs/>
          <w:color w:val="000000" w:themeColor="text1"/>
          <w:sz w:val="28"/>
          <w:szCs w:val="28"/>
          <w14:textFill>
            <w14:solidFill>
              <w14:schemeClr w14:val="tx1"/>
            </w14:solidFill>
          </w14:textFill>
        </w:rPr>
        <w:t>积极推动传统产业向新兴产业拓展。</w:t>
      </w:r>
      <w:r>
        <w:rPr>
          <w:rFonts w:hint="eastAsia" w:ascii="仿宋_GB2312" w:hAnsi="仿宋_GB2312" w:eastAsia="仿宋_GB2312" w:cs="仿宋_GB2312"/>
          <w:color w:val="000000" w:themeColor="text1"/>
          <w:sz w:val="28"/>
          <w:szCs w:val="28"/>
          <w14:textFill>
            <w14:solidFill>
              <w14:schemeClr w14:val="tx1"/>
            </w14:solidFill>
          </w14:textFill>
        </w:rPr>
        <w:t>着力推动战略金属及耐火材料产业向新材料产业拓展，提升产品质量、丰富产品品类；依托中航上大城市矿产示范基地，大力发展节能环保产业；着力推动汽车及零部件产业向新能源、高端装备制造业拓展，引导企业高端起步、质量优先、重点突破。</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2"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eastAsia="仿宋_GB2312"/>
          <w:b/>
          <w:bCs/>
          <w:color w:val="000000" w:themeColor="text1"/>
          <w:sz w:val="28"/>
          <w:szCs w:val="28"/>
          <w14:textFill>
            <w14:solidFill>
              <w14:schemeClr w14:val="tx1"/>
            </w14:solidFill>
          </w14:textFill>
        </w:rPr>
        <w:t>积极推动新兴产业改造传统产业。</w:t>
      </w:r>
      <w:r>
        <w:rPr>
          <w:rFonts w:hint="eastAsia" w:ascii="仿宋_GB2312" w:hAnsi="仿宋_GB2312" w:eastAsia="仿宋_GB2312" w:cs="仿宋_GB2312"/>
          <w:color w:val="000000" w:themeColor="text1"/>
          <w:sz w:val="28"/>
          <w:szCs w:val="28"/>
          <w14:textFill>
            <w14:solidFill>
              <w14:schemeClr w14:val="tx1"/>
            </w14:solidFill>
          </w14:textFill>
        </w:rPr>
        <w:t>一是大力发展共享经济。加快昭友、南冠绿色染整共享平台建设，解决羊绒产业洗染环节能耗高、废水排放多、污水综合治理困难等问题，促进羊绒产业绿色发展。二是大力发展数字经济，建设冀南互联网基地，通过</w:t>
      </w:r>
      <w:r>
        <w:rPr>
          <w:rFonts w:ascii="仿宋_GB2312" w:hAnsi="仿宋_GB2312" w:eastAsia="仿宋_GB2312" w:cs="仿宋_GB2312"/>
          <w:color w:val="000000" w:themeColor="text1"/>
          <w:sz w:val="28"/>
          <w:szCs w:val="28"/>
          <w14:textFill>
            <w14:solidFill>
              <w14:schemeClr w14:val="tx1"/>
            </w14:solidFill>
          </w14:textFill>
        </w:rPr>
        <w:t>平台资源共享、创新政策激励等吸引</w:t>
      </w:r>
      <w:r>
        <w:rPr>
          <w:rFonts w:hint="eastAsia" w:ascii="仿宋_GB2312" w:hAnsi="仿宋_GB2312" w:eastAsia="仿宋_GB2312" w:cs="仿宋_GB2312"/>
          <w:color w:val="000000" w:themeColor="text1"/>
          <w:sz w:val="28"/>
          <w:szCs w:val="28"/>
          <w14:textFill>
            <w14:solidFill>
              <w14:schemeClr w14:val="tx1"/>
            </w14:solidFill>
          </w14:textFill>
        </w:rPr>
        <w:t>大数据信息产业</w:t>
      </w:r>
      <w:r>
        <w:rPr>
          <w:rFonts w:ascii="仿宋_GB2312" w:hAnsi="仿宋_GB2312" w:eastAsia="仿宋_GB2312" w:cs="仿宋_GB2312"/>
          <w:color w:val="000000" w:themeColor="text1"/>
          <w:sz w:val="28"/>
          <w:szCs w:val="28"/>
          <w14:textFill>
            <w14:solidFill>
              <w14:schemeClr w14:val="tx1"/>
            </w14:solidFill>
          </w14:textFill>
        </w:rPr>
        <w:t>主体入驻，</w:t>
      </w:r>
      <w:r>
        <w:rPr>
          <w:rFonts w:hint="eastAsia" w:ascii="仿宋_GB2312" w:hAnsi="仿宋_GB2312" w:eastAsia="仿宋_GB2312" w:cs="仿宋_GB2312"/>
          <w:color w:val="000000" w:themeColor="text1"/>
          <w:sz w:val="28"/>
          <w:szCs w:val="28"/>
          <w14:textFill>
            <w14:solidFill>
              <w14:schemeClr w14:val="tx1"/>
            </w14:solidFill>
          </w14:textFill>
        </w:rPr>
        <w:t>助推大数据产业与实体经济融合发展。</w:t>
      </w:r>
      <w:bookmarkStart w:id="181" w:name="_Toc9037"/>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0" w:firstLineChars="200"/>
        <w:textAlignment w:val="auto"/>
        <w:rPr>
          <w:rFonts w:ascii="楷体_GB2312" w:hAnsi="楷体_GB2312" w:eastAsia="楷体_GB2312" w:cs="楷体_GB2312"/>
          <w:b w:val="0"/>
          <w:bCs/>
          <w:color w:val="000000" w:themeColor="text1"/>
          <w:kern w:val="0"/>
          <w:sz w:val="28"/>
          <w:szCs w:val="28"/>
          <w14:textFill>
            <w14:solidFill>
              <w14:schemeClr w14:val="tx1"/>
            </w14:solidFill>
          </w14:textFill>
        </w:rPr>
      </w:pPr>
      <w:r>
        <w:rPr>
          <w:rFonts w:hint="eastAsia" w:ascii="楷体_GB2312" w:hAnsi="楷体_GB2312" w:eastAsia="楷体_GB2312" w:cs="楷体_GB2312"/>
          <w:b w:val="0"/>
          <w:bCs/>
          <w:color w:val="000000" w:themeColor="text1"/>
          <w:kern w:val="0"/>
          <w:sz w:val="28"/>
          <w:szCs w:val="28"/>
          <w14:textFill>
            <w14:solidFill>
              <w14:schemeClr w14:val="tx1"/>
            </w14:solidFill>
          </w14:textFill>
        </w:rPr>
        <w:t>（三）着力推进现代服务业优质化</w:t>
      </w:r>
      <w:bookmarkEnd w:id="181"/>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积极围绕转型发展需求，推动电子商务、现代物流、数字经济等生产性服务业向专业化和高端化发展，加快推动文化旅游等生活性服务业向精细化和优质化发展，着力构建与创新驱动发展要求相适应，与中高端制造业发展相融合，与城市品质提升相匹配的现代服务业体系。</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1.积极发展生产性服务业</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大力发展电子商务业。</w:t>
      </w:r>
      <w:r>
        <w:rPr>
          <w:rFonts w:hint="eastAsia" w:ascii="仿宋_GB2312" w:hAnsi="仿宋_GB2312" w:eastAsia="仿宋_GB2312" w:cs="仿宋_GB2312"/>
          <w:color w:val="000000" w:themeColor="text1"/>
          <w:sz w:val="28"/>
          <w:szCs w:val="28"/>
          <w14:textFill>
            <w14:solidFill>
              <w14:schemeClr w14:val="tx1"/>
            </w14:solidFill>
          </w14:textFill>
        </w:rPr>
        <w:t>继续深化“国家级电子商务示范基地”及“国家级电子商务进农村示范县”建设，把电子商务作为重要战略性新兴产业和县域经济发展重要支柱。</w:t>
      </w:r>
      <w:r>
        <w:rPr>
          <w:rFonts w:hint="eastAsia" w:ascii="仿宋_GB2312" w:hAnsi="仿宋_GB2312" w:eastAsia="仿宋_GB2312" w:cs="仿宋_GB2312"/>
          <w:b/>
          <w:bCs/>
          <w:color w:val="000000" w:themeColor="text1"/>
          <w:sz w:val="28"/>
          <w:szCs w:val="28"/>
          <w14:textFill>
            <w14:solidFill>
              <w14:schemeClr w14:val="tx1"/>
            </w14:solidFill>
          </w14:textFill>
        </w:rPr>
        <w:t>一是</w:t>
      </w:r>
      <w:r>
        <w:rPr>
          <w:rFonts w:hint="eastAsia" w:ascii="仿宋_GB2312" w:hAnsi="仿宋_GB2312" w:eastAsia="仿宋_GB2312" w:cs="仿宋_GB2312"/>
          <w:color w:val="000000" w:themeColor="text1"/>
          <w:sz w:val="28"/>
          <w:szCs w:val="28"/>
          <w14:textFill>
            <w14:solidFill>
              <w14:schemeClr w14:val="tx1"/>
            </w14:solidFill>
          </w14:textFill>
        </w:rPr>
        <w:t>加速推动传统实体企业的电子商务化，推动其线下销售与线上销售相结合，逐步提高实体企业开展电子商务的比例，提高其网络交易额比例。</w:t>
      </w:r>
      <w:r>
        <w:rPr>
          <w:rFonts w:hint="eastAsia" w:ascii="仿宋_GB2312" w:hAnsi="仿宋_GB2312" w:eastAsia="仿宋_GB2312" w:cs="仿宋_GB2312"/>
          <w:b/>
          <w:bCs/>
          <w:color w:val="000000" w:themeColor="text1"/>
          <w:sz w:val="28"/>
          <w:szCs w:val="28"/>
          <w14:textFill>
            <w14:solidFill>
              <w14:schemeClr w14:val="tx1"/>
            </w14:solidFill>
          </w14:textFill>
        </w:rPr>
        <w:t>二是</w:t>
      </w:r>
      <w:r>
        <w:rPr>
          <w:rFonts w:hint="eastAsia" w:ascii="仿宋_GB2312" w:hAnsi="仿宋_GB2312" w:eastAsia="仿宋_GB2312" w:cs="仿宋_GB2312"/>
          <w:color w:val="000000" w:themeColor="text1"/>
          <w:sz w:val="28"/>
          <w:szCs w:val="28"/>
          <w14:textFill>
            <w14:solidFill>
              <w14:schemeClr w14:val="tx1"/>
            </w14:solidFill>
          </w14:textFill>
        </w:rPr>
        <w:t>认真贯彻落实全省电子商务进农村工作要求，继续拓展农村电商服务站相关功能，着力开发、培育清河特色农产品，与主流第三方平台合作开设“特色清河”品牌馆，促进“三品一标”“名特优新”“一村一品”农产品上网销售。</w:t>
      </w:r>
      <w:r>
        <w:rPr>
          <w:rFonts w:hint="eastAsia" w:ascii="仿宋_GB2312" w:hAnsi="仿宋_GB2312" w:eastAsia="仿宋_GB2312" w:cs="仿宋_GB2312"/>
          <w:b/>
          <w:bCs/>
          <w:color w:val="000000" w:themeColor="text1"/>
          <w:sz w:val="28"/>
          <w:szCs w:val="28"/>
          <w14:textFill>
            <w14:solidFill>
              <w14:schemeClr w14:val="tx1"/>
            </w14:solidFill>
          </w14:textFill>
        </w:rPr>
        <w:t>三是</w:t>
      </w:r>
      <w:r>
        <w:rPr>
          <w:rFonts w:hint="eastAsia" w:ascii="仿宋_GB2312" w:hAnsi="仿宋_GB2312" w:eastAsia="仿宋_GB2312" w:cs="仿宋_GB2312"/>
          <w:color w:val="000000" w:themeColor="text1"/>
          <w:sz w:val="28"/>
          <w:szCs w:val="28"/>
          <w14:textFill>
            <w14:solidFill>
              <w14:schemeClr w14:val="tx1"/>
            </w14:solidFill>
          </w14:textFill>
        </w:rPr>
        <w:t>依托羊绒小镇，做好电商新业态平台建设，积极推进电子商务产业园发展，加快电商直播基地、新电商孵化中心、跨境电商服务站、网红步行街建设，打造集网红直播+跨境电商+智能制造于一体的北方“网红之城”。</w:t>
      </w:r>
      <w:r>
        <w:rPr>
          <w:rFonts w:hint="eastAsia" w:ascii="仿宋_GB2312" w:hAnsi="仿宋_GB2312" w:eastAsia="仿宋_GB2312" w:cs="仿宋_GB2312"/>
          <w:b/>
          <w:bCs/>
          <w:color w:val="000000" w:themeColor="text1"/>
          <w:sz w:val="28"/>
          <w:szCs w:val="28"/>
          <w14:textFill>
            <w14:solidFill>
              <w14:schemeClr w14:val="tx1"/>
            </w14:solidFill>
          </w14:textFill>
        </w:rPr>
        <w:t>四是</w:t>
      </w:r>
      <w:r>
        <w:rPr>
          <w:rFonts w:hint="eastAsia" w:ascii="仿宋_GB2312" w:hAnsi="仿宋_GB2312" w:eastAsia="仿宋_GB2312" w:cs="仿宋_GB2312"/>
          <w:color w:val="000000" w:themeColor="text1"/>
          <w:sz w:val="28"/>
          <w:szCs w:val="28"/>
          <w14:textFill>
            <w14:solidFill>
              <w14:schemeClr w14:val="tx1"/>
            </w14:solidFill>
          </w14:textFill>
        </w:rPr>
        <w:t>鼓励发展跨境电子商务，完善跨境电商产业园基础设施与功能，主动适应电子商务全球化趋势，积极营造发展跨境电子商务良好氛围，逐步引导20-30家传统企业发展跨境式B2B、B2C，逐步扩大跨境电商的外贸出口占比。</w:t>
      </w:r>
      <w:r>
        <w:rPr>
          <w:rFonts w:hint="eastAsia" w:ascii="仿宋_GB2312" w:hAnsi="仿宋_GB2312" w:eastAsia="仿宋_GB2312" w:cs="仿宋_GB2312"/>
          <w:b/>
          <w:bCs/>
          <w:color w:val="000000" w:themeColor="text1"/>
          <w:sz w:val="28"/>
          <w:szCs w:val="28"/>
          <w14:textFill>
            <w14:solidFill>
              <w14:schemeClr w14:val="tx1"/>
            </w14:solidFill>
          </w14:textFill>
        </w:rPr>
        <w:t>五是</w:t>
      </w:r>
      <w:r>
        <w:rPr>
          <w:rFonts w:hint="eastAsia" w:ascii="仿宋_GB2312" w:hAnsi="仿宋_GB2312" w:eastAsia="仿宋_GB2312" w:cs="仿宋_GB2312"/>
          <w:color w:val="000000" w:themeColor="text1"/>
          <w:sz w:val="28"/>
          <w:szCs w:val="28"/>
          <w14:textFill>
            <w14:solidFill>
              <w14:schemeClr w14:val="tx1"/>
            </w14:solidFill>
          </w14:textFill>
        </w:rPr>
        <w:t>全面普及各领域电子商务应用，逐步推进电子商务在旅游、金融、医疗、社区服务、政府采购、物流、培训等领域应用，逐步建立相应的电子商务服务平台。到2025年，电子商务交易额突破150亿元，网店数量达到5万家，其中跨境电商交易额达到5亿元以上。</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大力发展现代物流业。</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以“内外联通、区域联通、供需联通、产业联通”为目标，全力提升现代物流业在促进区域协调发展、引领产业融合发展中的关键作用。</w:t>
      </w:r>
      <w:r>
        <w:rPr>
          <w:rFonts w:hint="eastAsia" w:ascii="仿宋_GB2312" w:hAnsi="仿宋_GB2312" w:eastAsia="仿宋_GB2312" w:cs="仿宋_GB2312"/>
          <w:b/>
          <w:bCs/>
          <w:color w:val="000000" w:themeColor="text1"/>
          <w:sz w:val="28"/>
          <w:szCs w:val="28"/>
          <w14:textFill>
            <w14:solidFill>
              <w14:schemeClr w14:val="tx1"/>
            </w14:solidFill>
          </w14:textFill>
        </w:rPr>
        <w:t>着力培育市场主体。</w:t>
      </w:r>
      <w:r>
        <w:rPr>
          <w:rFonts w:hint="eastAsia" w:ascii="仿宋_GB2312" w:hAnsi="仿宋_GB2312" w:eastAsia="仿宋_GB2312" w:cs="仿宋_GB2312"/>
          <w:color w:val="000000" w:themeColor="text1"/>
          <w:sz w:val="28"/>
          <w:szCs w:val="28"/>
          <w14:textFill>
            <w14:solidFill>
              <w14:schemeClr w14:val="tx1"/>
            </w14:solidFill>
          </w14:textFill>
        </w:rPr>
        <w:t>鼓励制造业企业利用现有的仓储库房、运输车辆及原材料等资产，投资组建独立的现代物流企业，对企业生产资料和产品实行统一配送，同时面向社会提供第三方物流服务。</w:t>
      </w:r>
      <w:r>
        <w:rPr>
          <w:rFonts w:hint="eastAsia" w:ascii="仿宋_GB2312" w:hAnsi="仿宋_GB2312" w:eastAsia="仿宋_GB2312" w:cs="仿宋_GB2312"/>
          <w:b/>
          <w:bCs/>
          <w:color w:val="000000" w:themeColor="text1"/>
          <w:sz w:val="28"/>
          <w:szCs w:val="28"/>
          <w14:textFill>
            <w14:solidFill>
              <w14:schemeClr w14:val="tx1"/>
            </w14:solidFill>
          </w14:textFill>
        </w:rPr>
        <w:t>着力发展供应链物流。</w:t>
      </w:r>
      <w:r>
        <w:rPr>
          <w:rFonts w:hint="eastAsia" w:ascii="仿宋_GB2312" w:hAnsi="仿宋_GB2312" w:eastAsia="仿宋_GB2312" w:cs="仿宋_GB2312"/>
          <w:color w:val="000000" w:themeColor="text1"/>
          <w:sz w:val="28"/>
          <w:szCs w:val="28"/>
          <w14:textFill>
            <w14:solidFill>
              <w14:schemeClr w14:val="tx1"/>
            </w14:solidFill>
          </w14:textFill>
        </w:rPr>
        <w:t>支持物流企业提升供应链管理服务，提高物流企业配送的信息化、智能化、精准化水平，推广企业零库存管理等现代企业管理模式。</w:t>
      </w:r>
      <w:r>
        <w:rPr>
          <w:rFonts w:hint="eastAsia" w:ascii="仿宋_GB2312" w:hAnsi="仿宋_GB2312" w:eastAsia="仿宋_GB2312" w:cs="仿宋_GB2312"/>
          <w:b/>
          <w:bCs/>
          <w:color w:val="000000" w:themeColor="text1"/>
          <w:sz w:val="28"/>
          <w:szCs w:val="28"/>
          <w14:textFill>
            <w14:solidFill>
              <w14:schemeClr w14:val="tx1"/>
            </w14:solidFill>
          </w14:textFill>
        </w:rPr>
        <w:t>着力发展电商物流。</w:t>
      </w:r>
      <w:r>
        <w:rPr>
          <w:rFonts w:hint="eastAsia" w:ascii="仿宋_GB2312" w:hAnsi="仿宋_GB2312" w:eastAsia="仿宋_GB2312" w:cs="仿宋_GB2312"/>
          <w:color w:val="000000" w:themeColor="text1"/>
          <w:sz w:val="28"/>
          <w:szCs w:val="28"/>
          <w14:textFill>
            <w14:solidFill>
              <w14:schemeClr w14:val="tx1"/>
            </w14:solidFill>
          </w14:textFill>
        </w:rPr>
        <w:t>积极对接阿里巴巴产地仓项目，谋划在清河建立羊绒服饰产地仓，降低物流成本，提升订单效率，塑造品牌效应。“十四五”期间，基本建成以规模化、区域化、数字化、绿色化和集约化为特征的现代物流服务体系，全县A级及以上的物流企业总数达到</w:t>
      </w:r>
      <w:r>
        <w:rPr>
          <w:rFonts w:hint="eastAsia" w:ascii="仿宋_GB2312" w:hAnsi="仿宋_GB2312" w:eastAsia="仿宋_GB2312" w:cs="仿宋_GB2312"/>
          <w:color w:val="000000" w:themeColor="text1"/>
          <w:kern w:val="0"/>
          <w:sz w:val="28"/>
          <w:szCs w:val="28"/>
          <w14:textFill>
            <w14:solidFill>
              <w14:schemeClr w14:val="tx1"/>
            </w14:solidFill>
          </w14:textFill>
        </w:rPr>
        <w:t>10家以上，其中2A级以上物流企业达到2家以上。</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2.全面发展生活性服务业</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重点发展贴近服务人民群众生活、需求潜力大、带动作用强的生活性服务领域，推动生活消费方式由生存型、传统型、物质型向发展型、现代型、服务型转变。</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繁荣发展商贸服务业。</w:t>
      </w:r>
      <w:r>
        <w:rPr>
          <w:rFonts w:hint="eastAsia" w:ascii="仿宋_GB2312" w:hAnsi="仿宋_GB2312" w:eastAsia="仿宋_GB2312" w:cs="仿宋_GB2312"/>
          <w:color w:val="000000" w:themeColor="text1"/>
          <w:sz w:val="28"/>
          <w:szCs w:val="28"/>
          <w14:textFill>
            <w14:solidFill>
              <w14:schemeClr w14:val="tx1"/>
            </w14:solidFill>
          </w14:textFill>
        </w:rPr>
        <w:t>加快城市经济综合体的培育和建设，逐步打造若干个城市特色商圈和商业步行街，以此为清河县促进消费升级、振兴商贸业的重要抓手</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加快冀东南区域中心城市建设，辐射周边区域。推进品牌连锁便利店建设，满足人民群众生活需求。</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2" w:firstLineChars="200"/>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着力发展文化旅游业。</w:t>
      </w:r>
      <w:r>
        <w:rPr>
          <w:rFonts w:hint="eastAsia" w:ascii="仿宋_GB2312" w:hAnsi="仿宋_GB2312" w:eastAsia="仿宋_GB2312" w:cs="仿宋_GB2312"/>
          <w:color w:val="000000" w:themeColor="text1"/>
          <w:sz w:val="28"/>
          <w:szCs w:val="28"/>
          <w14:textFill>
            <w14:solidFill>
              <w14:schemeClr w14:val="tx1"/>
            </w14:solidFill>
          </w14:textFill>
        </w:rPr>
        <w:t>依托清河丰厚的历史文化底蕴，以及羊绒、特色农业等优势产业，构建“1（龙头引领）+3（特色线路）”的全域旅游体系，打造北方平原县域旅游先行区。</w:t>
      </w:r>
      <w:r>
        <w:rPr>
          <w:rFonts w:hint="eastAsia" w:ascii="仿宋_GB2312" w:hAnsi="仿宋_GB2312" w:eastAsia="仿宋_GB2312" w:cs="仿宋_GB2312"/>
          <w:b/>
          <w:bCs/>
          <w:color w:val="000000" w:themeColor="text1"/>
          <w:sz w:val="28"/>
          <w:szCs w:val="28"/>
          <w14:textFill>
            <w14:solidFill>
              <w14:schemeClr w14:val="tx1"/>
            </w14:solidFill>
          </w14:textFill>
        </w:rPr>
        <w:t>一个龙头引领，</w:t>
      </w:r>
      <w:r>
        <w:rPr>
          <w:rFonts w:hint="eastAsia" w:ascii="仿宋_GB2312" w:hAnsi="仿宋_GB2312" w:eastAsia="仿宋_GB2312" w:cs="仿宋_GB2312"/>
          <w:color w:val="000000" w:themeColor="text1"/>
          <w:sz w:val="28"/>
          <w:szCs w:val="28"/>
          <w14:textFill>
            <w14:solidFill>
              <w14:schemeClr w14:val="tx1"/>
            </w14:solidFill>
          </w14:textFill>
        </w:rPr>
        <w:t>即大运河文化旅游带，</w:t>
      </w:r>
      <w:r>
        <w:rPr>
          <w:rFonts w:hint="eastAsia" w:ascii="仿宋_GB2312" w:hAnsi="仿宋_GB2312" w:eastAsia="仿宋_GB2312" w:cs="仿宋_GB2312"/>
          <w:color w:val="000000" w:themeColor="text1"/>
          <w:sz w:val="28"/>
          <w:szCs w:val="28"/>
          <w:lang w:eastAsia="zh-CN"/>
          <w14:textFill>
            <w14:solidFill>
              <w14:schemeClr w14:val="tx1"/>
            </w14:solidFill>
          </w14:textFill>
        </w:rPr>
        <w:t>挖掘</w:t>
      </w:r>
      <w:r>
        <w:rPr>
          <w:rFonts w:hint="eastAsia" w:ascii="仿宋_GB2312" w:hAnsi="仿宋_GB2312" w:eastAsia="仿宋_GB2312" w:cs="仿宋_GB2312"/>
          <w:color w:val="000000" w:themeColor="text1"/>
          <w:sz w:val="28"/>
          <w:szCs w:val="28"/>
          <w14:textFill>
            <w14:solidFill>
              <w14:schemeClr w14:val="tx1"/>
            </w14:solidFill>
          </w14:textFill>
        </w:rPr>
        <w:t>大运河油坊码头、朱唐口险工等3个国保单位历史文化资源，建设大运河文化景观长廊，谋划开挖隋唐古运河，</w:t>
      </w:r>
      <w:r>
        <w:rPr>
          <w:rFonts w:hint="eastAsia" w:ascii="仿宋_GB2312" w:hAnsi="仿宋_GB2312" w:eastAsia="仿宋_GB2312" w:cs="仿宋_GB2312"/>
          <w:color w:val="000000" w:themeColor="text1"/>
          <w:sz w:val="28"/>
          <w:szCs w:val="28"/>
          <w:lang w:eastAsia="zh-CN"/>
          <w14:textFill>
            <w14:solidFill>
              <w14:schemeClr w14:val="tx1"/>
            </w14:solidFill>
          </w14:textFill>
        </w:rPr>
        <w:t>统筹</w:t>
      </w:r>
      <w:r>
        <w:rPr>
          <w:rFonts w:hint="eastAsia" w:ascii="仿宋_GB2312" w:hAnsi="仿宋_GB2312" w:eastAsia="仿宋_GB2312" w:cs="仿宋_GB2312"/>
          <w:color w:val="000000" w:themeColor="text1"/>
          <w:sz w:val="28"/>
          <w:szCs w:val="28"/>
          <w14:textFill>
            <w14:solidFill>
              <w14:schemeClr w14:val="tx1"/>
            </w14:solidFill>
          </w14:textFill>
        </w:rPr>
        <w:t>推进景区开发、生态建设、文化传承等工作，打造旅游名片，引领全县旅游业发展。</w:t>
      </w:r>
      <w:r>
        <w:rPr>
          <w:rFonts w:hint="eastAsia" w:ascii="仿宋_GB2312" w:hAnsi="仿宋_GB2312" w:eastAsia="仿宋_GB2312" w:cs="仿宋_GB2312"/>
          <w:b/>
          <w:bCs/>
          <w:color w:val="000000" w:themeColor="text1"/>
          <w:sz w:val="28"/>
          <w:szCs w:val="28"/>
          <w14:textFill>
            <w14:solidFill>
              <w14:schemeClr w14:val="tx1"/>
            </w14:solidFill>
          </w14:textFill>
        </w:rPr>
        <w:t>打造一条文化旅游线路，</w:t>
      </w:r>
      <w:r>
        <w:rPr>
          <w:rFonts w:hint="eastAsia" w:ascii="仿宋_GB2312" w:hAnsi="仿宋_GB2312" w:eastAsia="仿宋_GB2312" w:cs="仿宋_GB2312"/>
          <w:color w:val="000000" w:themeColor="text1"/>
          <w:sz w:val="28"/>
          <w:szCs w:val="28"/>
          <w14:textFill>
            <w14:solidFill>
              <w14:schemeClr w14:val="tx1"/>
            </w14:solidFill>
          </w14:textFill>
        </w:rPr>
        <w:t>依托古贝州城遗址、张氏祖庭、武植墓等，深入挖掘整合张氏文化、运河文化、武松文化、金瓶梅文化、状元文化等特色为文物文化资源，发展特色文化旅游。</w:t>
      </w:r>
      <w:r>
        <w:rPr>
          <w:rFonts w:hint="eastAsia" w:ascii="仿宋_GB2312" w:hAnsi="仿宋_GB2312" w:eastAsia="仿宋_GB2312" w:cs="仿宋_GB2312"/>
          <w:b/>
          <w:bCs/>
          <w:color w:val="000000" w:themeColor="text1"/>
          <w:sz w:val="28"/>
          <w:szCs w:val="28"/>
          <w14:textFill>
            <w14:solidFill>
              <w14:schemeClr w14:val="tx1"/>
            </w14:solidFill>
          </w14:textFill>
        </w:rPr>
        <w:t>打造一条产业旅游线路，</w:t>
      </w:r>
      <w:r>
        <w:rPr>
          <w:rFonts w:hint="eastAsia" w:ascii="仿宋_GB2312" w:hAnsi="仿宋_GB2312" w:eastAsia="仿宋_GB2312" w:cs="仿宋_GB2312"/>
          <w:color w:val="000000" w:themeColor="text1"/>
          <w:sz w:val="28"/>
          <w:szCs w:val="28"/>
          <w14:textFill>
            <w14:solidFill>
              <w14:schemeClr w14:val="tx1"/>
            </w14:solidFill>
          </w14:textFill>
        </w:rPr>
        <w:t>依托羊绒小镇，加快完善旅游配套设施，提升接待能力，打造“AAAA”级景区，统筹开通周边主要城市的旅游大巴，发展工业体验旅游。</w:t>
      </w:r>
      <w:r>
        <w:rPr>
          <w:rFonts w:hint="eastAsia" w:ascii="仿宋_GB2312" w:hAnsi="仿宋_GB2312" w:eastAsia="仿宋_GB2312" w:cs="仿宋_GB2312"/>
          <w:b/>
          <w:bCs/>
          <w:color w:val="000000" w:themeColor="text1"/>
          <w:sz w:val="28"/>
          <w:szCs w:val="28"/>
          <w14:textFill>
            <w14:solidFill>
              <w14:schemeClr w14:val="tx1"/>
            </w14:solidFill>
          </w14:textFill>
        </w:rPr>
        <w:t>打造一条生态旅游线路，</w:t>
      </w:r>
      <w:r>
        <w:rPr>
          <w:rFonts w:hint="eastAsia" w:ascii="仿宋_GB2312" w:hAnsi="仿宋_GB2312" w:eastAsia="仿宋_GB2312" w:cs="仿宋_GB2312"/>
          <w:color w:val="000000" w:themeColor="text1"/>
          <w:sz w:val="28"/>
          <w:szCs w:val="28"/>
          <w14:textFill>
            <w14:solidFill>
              <w14:schemeClr w14:val="tx1"/>
            </w14:solidFill>
          </w14:textFill>
        </w:rPr>
        <w:t>依托万亩山楂生态林，着力包装提升“赏花节”“采摘节”，发展休闲农业生态旅游。“十四五”期间，</w:t>
      </w:r>
      <w:r>
        <w:rPr>
          <w:rFonts w:hint="eastAsia" w:ascii="仿宋_GB2312" w:hAnsi="仿宋_GB2312" w:eastAsia="仿宋_GB2312" w:cs="仿宋_GB2312"/>
          <w:color w:val="000000" w:themeColor="text1"/>
          <w:kern w:val="0"/>
          <w:sz w:val="28"/>
          <w:szCs w:val="28"/>
          <w14:textFill>
            <w14:solidFill>
              <w14:schemeClr w14:val="tx1"/>
            </w14:solidFill>
          </w14:textFill>
        </w:rPr>
        <w:t>高标准办好2021年全市旅发大会</w:t>
      </w:r>
      <w:r>
        <w:rPr>
          <w:rFonts w:hint="eastAsia" w:ascii="仿宋_GB2312" w:hAnsi="仿宋_GB2312" w:eastAsia="仿宋_GB2312" w:cs="仿宋_GB2312"/>
          <w:color w:val="000000" w:themeColor="text1"/>
          <w:sz w:val="28"/>
          <w:szCs w:val="28"/>
          <w14:textFill>
            <w14:solidFill>
              <w14:schemeClr w14:val="tx1"/>
            </w14:solidFill>
          </w14:textFill>
        </w:rPr>
        <w:t>，以此为引领推动全县旅游业快速发展，到2025年实现旅游业年营</w:t>
      </w:r>
      <w:r>
        <w:rPr>
          <w:rFonts w:hint="eastAsia" w:ascii="仿宋_GB2312" w:hAnsi="仿宋_GB2312" w:eastAsia="仿宋_GB2312" w:cs="仿宋_GB2312"/>
          <w:color w:val="000000" w:themeColor="text1"/>
          <w:kern w:val="0"/>
          <w:sz w:val="28"/>
          <w:szCs w:val="28"/>
          <w14:textFill>
            <w14:solidFill>
              <w14:schemeClr w14:val="tx1"/>
            </w14:solidFill>
          </w14:textFill>
        </w:rPr>
        <w:t>业收入突破</w:t>
      </w:r>
      <w:r>
        <w:rPr>
          <w:rFonts w:ascii="仿宋_GB2312" w:hAnsi="仿宋_GB2312" w:eastAsia="仿宋_GB2312" w:cs="仿宋_GB2312"/>
          <w:color w:val="000000" w:themeColor="text1"/>
          <w:kern w:val="0"/>
          <w:sz w:val="28"/>
          <w:szCs w:val="28"/>
          <w14:textFill>
            <w14:solidFill>
              <w14:schemeClr w14:val="tx1"/>
            </w14:solidFill>
          </w14:textFill>
        </w:rPr>
        <w:t>240</w:t>
      </w:r>
      <w:r>
        <w:rPr>
          <w:rFonts w:hint="eastAsia" w:ascii="仿宋_GB2312" w:hAnsi="仿宋_GB2312" w:eastAsia="仿宋_GB2312" w:cs="仿宋_GB2312"/>
          <w:color w:val="000000" w:themeColor="text1"/>
          <w:kern w:val="0"/>
          <w:sz w:val="28"/>
          <w:szCs w:val="28"/>
          <w14:textFill>
            <w14:solidFill>
              <w14:schemeClr w14:val="tx1"/>
            </w14:solidFill>
          </w14:textFill>
        </w:rPr>
        <w:t>亿元。</w:t>
      </w:r>
      <w:bookmarkStart w:id="182" w:name="_Toc7017"/>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0" w:firstLineChars="200"/>
        <w:textAlignment w:val="auto"/>
        <w:rPr>
          <w:rFonts w:ascii="楷体_GB2312" w:hAnsi="楷体_GB2312" w:eastAsia="楷体_GB2312" w:cs="楷体_GB2312"/>
          <w:b w:val="0"/>
          <w:bCs/>
          <w:color w:val="000000" w:themeColor="text1"/>
          <w:kern w:val="0"/>
          <w:sz w:val="28"/>
          <w:szCs w:val="28"/>
          <w14:textFill>
            <w14:solidFill>
              <w14:schemeClr w14:val="tx1"/>
            </w14:solidFill>
          </w14:textFill>
        </w:rPr>
      </w:pPr>
      <w:r>
        <w:rPr>
          <w:rFonts w:hint="eastAsia" w:ascii="楷体_GB2312" w:hAnsi="楷体_GB2312" w:eastAsia="楷体_GB2312" w:cs="楷体_GB2312"/>
          <w:b w:val="0"/>
          <w:bCs/>
          <w:color w:val="000000" w:themeColor="text1"/>
          <w:kern w:val="0"/>
          <w:sz w:val="28"/>
          <w:szCs w:val="28"/>
          <w14:textFill>
            <w14:solidFill>
              <w14:schemeClr w14:val="tx1"/>
            </w14:solidFill>
          </w14:textFill>
        </w:rPr>
        <w:t>（四）着力提升对外开放水平</w:t>
      </w:r>
      <w:bookmarkEnd w:id="182"/>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color w:val="000000" w:themeColor="text1"/>
          <w:kern w:val="0"/>
          <w:sz w:val="28"/>
          <w:szCs w:val="28"/>
          <w14:textFill>
            <w14:solidFill>
              <w14:schemeClr w14:val="tx1"/>
            </w14:solidFill>
          </w14:textFill>
        </w:rPr>
      </w:pPr>
      <w:r>
        <w:rPr>
          <w:rFonts w:hint="eastAsia" w:ascii="仿宋_GB2312" w:hAnsi="仿宋" w:eastAsia="仿宋_GB2312" w:cs="宋体"/>
          <w:color w:val="000000" w:themeColor="text1"/>
          <w:kern w:val="0"/>
          <w:sz w:val="28"/>
          <w:szCs w:val="28"/>
          <w14:textFill>
            <w14:solidFill>
              <w14:schemeClr w14:val="tx1"/>
            </w14:solidFill>
          </w14:textFill>
        </w:rPr>
        <w:t>顺应全球开放合作变化新形势，加强全方位对外开放合作，高质量走出去，高水平引进来，推动全县外资外贸上新台阶，以高水平对外开放打造国际合作和竞争新优势。</w:t>
      </w:r>
      <w:bookmarkStart w:id="183" w:name="_Toc29134"/>
      <w:bookmarkStart w:id="184" w:name="_Toc22191"/>
      <w:r>
        <w:rPr>
          <w:rFonts w:hint="eastAsia" w:ascii="Times New Roman" w:hAnsi="Times New Roman" w:eastAsia="仿宋_GB2312" w:cs="Times New Roman"/>
          <w:b/>
          <w:bCs/>
          <w:color w:val="000000" w:themeColor="text1"/>
          <w:sz w:val="28"/>
          <w:szCs w:val="28"/>
          <w14:textFill>
            <w14:solidFill>
              <w14:schemeClr w14:val="tx1"/>
            </w14:solidFill>
          </w14:textFill>
        </w:rPr>
        <w:t>深度参与“一带一路”建设</w:t>
      </w:r>
      <w:bookmarkEnd w:id="183"/>
      <w:bookmarkEnd w:id="184"/>
      <w:r>
        <w:rPr>
          <w:rFonts w:hint="eastAsia" w:ascii="Times New Roman" w:hAnsi="Times New Roman" w:eastAsia="仿宋_GB2312" w:cs="Times New Roman"/>
          <w:b/>
          <w:bCs/>
          <w:color w:val="000000" w:themeColor="text1"/>
          <w:sz w:val="28"/>
          <w:szCs w:val="28"/>
          <w14:textFill>
            <w14:solidFill>
              <w14:schemeClr w14:val="tx1"/>
            </w14:solidFill>
          </w14:textFill>
        </w:rPr>
        <w:t>。</w:t>
      </w:r>
      <w:r>
        <w:rPr>
          <w:rFonts w:hint="eastAsia" w:ascii="仿宋_GB2312" w:hAnsi="仿宋" w:eastAsia="仿宋_GB2312" w:cs="宋体"/>
          <w:color w:val="000000" w:themeColor="text1"/>
          <w:kern w:val="0"/>
          <w:sz w:val="28"/>
          <w:szCs w:val="28"/>
          <w14:textFill>
            <w14:solidFill>
              <w14:schemeClr w14:val="tx1"/>
            </w14:solidFill>
          </w14:textFill>
        </w:rPr>
        <w:t>依托冀蒙俄、冀新欧等国际大通道，借力邢台市直通</w:t>
      </w:r>
      <w:r>
        <w:rPr>
          <w:rFonts w:ascii="仿宋_GB2312" w:hAnsi="仿宋" w:eastAsia="仿宋_GB2312" w:cs="宋体"/>
          <w:color w:val="000000" w:themeColor="text1"/>
          <w:kern w:val="0"/>
          <w:sz w:val="28"/>
          <w:szCs w:val="28"/>
          <w14:textFill>
            <w14:solidFill>
              <w14:schemeClr w14:val="tx1"/>
            </w14:solidFill>
          </w14:textFill>
        </w:rPr>
        <w:t>中亚国际班列作用</w:t>
      </w:r>
      <w:r>
        <w:rPr>
          <w:rFonts w:hint="eastAsia" w:ascii="仿宋_GB2312" w:hAnsi="仿宋" w:eastAsia="仿宋_GB2312" w:cs="宋体"/>
          <w:color w:val="000000" w:themeColor="text1"/>
          <w:kern w:val="0"/>
          <w:sz w:val="28"/>
          <w:szCs w:val="28"/>
          <w14:textFill>
            <w14:solidFill>
              <w14:schemeClr w14:val="tx1"/>
            </w14:solidFill>
          </w14:textFill>
        </w:rPr>
        <w:t>，</w:t>
      </w:r>
      <w:r>
        <w:rPr>
          <w:rFonts w:ascii="仿宋_GB2312" w:hAnsi="仿宋" w:eastAsia="仿宋_GB2312" w:cs="宋体"/>
          <w:color w:val="000000" w:themeColor="text1"/>
          <w:kern w:val="0"/>
          <w:sz w:val="28"/>
          <w:szCs w:val="28"/>
          <w14:textFill>
            <w14:solidFill>
              <w14:schemeClr w14:val="tx1"/>
            </w14:solidFill>
          </w14:textFill>
        </w:rPr>
        <w:t>加强与</w:t>
      </w:r>
      <w:r>
        <w:rPr>
          <w:rFonts w:hint="eastAsia" w:ascii="仿宋_GB2312" w:hAnsi="仿宋" w:eastAsia="仿宋_GB2312" w:cs="宋体"/>
          <w:color w:val="000000" w:themeColor="text1"/>
          <w:kern w:val="0"/>
          <w:sz w:val="28"/>
          <w:szCs w:val="28"/>
          <w14:textFill>
            <w14:solidFill>
              <w14:schemeClr w14:val="tx1"/>
            </w14:solidFill>
          </w14:textFill>
        </w:rPr>
        <w:t>“一带一路”沿线国家和地区的贸易合作。鼓励企业在“一带一路”沿线国家和地区合作建设资源基地、生产基地、综合服务基地、研发设计基地，构筑互利共赢的产业链供应链合作体系。对接邢台市</w:t>
      </w:r>
      <w:r>
        <w:rPr>
          <w:rFonts w:ascii="仿宋_GB2312" w:hAnsi="仿宋" w:eastAsia="仿宋_GB2312" w:cs="宋体"/>
          <w:color w:val="000000" w:themeColor="text1"/>
          <w:kern w:val="0"/>
          <w:sz w:val="28"/>
          <w:szCs w:val="28"/>
          <w14:textFill>
            <w14:solidFill>
              <w14:schemeClr w14:val="tx1"/>
            </w14:solidFill>
          </w14:textFill>
        </w:rPr>
        <w:t>与乌兹别克斯坦合建的“河北工业园”</w:t>
      </w:r>
      <w:r>
        <w:rPr>
          <w:rFonts w:hint="eastAsia" w:ascii="仿宋_GB2312" w:hAnsi="仿宋" w:eastAsia="仿宋_GB2312" w:cs="宋体"/>
          <w:color w:val="000000" w:themeColor="text1"/>
          <w:kern w:val="0"/>
          <w:sz w:val="28"/>
          <w:szCs w:val="28"/>
          <w14:textFill>
            <w14:solidFill>
              <w14:schemeClr w14:val="tx1"/>
            </w14:solidFill>
          </w14:textFill>
        </w:rPr>
        <w:t>，整合优势资源，引导企业优势互补、抱团出海，实现多赢互利。</w:t>
      </w:r>
      <w:bookmarkStart w:id="185" w:name="_Toc29101"/>
      <w:bookmarkStart w:id="186" w:name="_Toc25629"/>
      <w:r>
        <w:rPr>
          <w:rFonts w:hint="eastAsia" w:ascii="Times New Roman" w:hAnsi="Times New Roman" w:eastAsia="仿宋_GB2312" w:cs="Times New Roman"/>
          <w:b/>
          <w:bCs/>
          <w:color w:val="000000" w:themeColor="text1"/>
          <w:sz w:val="28"/>
          <w:szCs w:val="28"/>
          <w14:textFill>
            <w14:solidFill>
              <w14:schemeClr w14:val="tx1"/>
            </w14:solidFill>
          </w14:textFill>
        </w:rPr>
        <w:t>全力提升外资外贸水平</w:t>
      </w:r>
      <w:bookmarkEnd w:id="185"/>
      <w:bookmarkEnd w:id="186"/>
      <w:r>
        <w:rPr>
          <w:rFonts w:hint="eastAsia" w:ascii="Times New Roman" w:hAnsi="Times New Roman" w:eastAsia="仿宋_GB2312" w:cs="Times New Roman"/>
          <w:b/>
          <w:bCs/>
          <w:color w:val="000000" w:themeColor="text1"/>
          <w:sz w:val="28"/>
          <w:szCs w:val="28"/>
          <w14:textFill>
            <w14:solidFill>
              <w14:schemeClr w14:val="tx1"/>
            </w14:solidFill>
          </w14:textFill>
        </w:rPr>
        <w:t>。</w:t>
      </w:r>
      <w:r>
        <w:rPr>
          <w:rFonts w:hint="eastAsia" w:ascii="仿宋_GB2312" w:hAnsi="仿宋" w:eastAsia="仿宋_GB2312" w:cs="宋体"/>
          <w:color w:val="000000" w:themeColor="text1"/>
          <w:kern w:val="0"/>
          <w:sz w:val="28"/>
          <w:szCs w:val="28"/>
          <w14:textFill>
            <w14:solidFill>
              <w14:schemeClr w14:val="tx1"/>
            </w14:solidFill>
          </w14:textFill>
        </w:rPr>
        <w:t>抢抓全球产业链供应链重构的机遇，推进利用外资供给侧结构性改革，鼓励通过外资参股、外资并购、境外上市等方式，积极引进具有国际水平的高端装备、新材料等企业项目，开创利用外资新局面。</w:t>
      </w:r>
      <w:r>
        <w:rPr>
          <w:rFonts w:ascii="仿宋_GB2312" w:hAnsi="仿宋" w:eastAsia="仿宋_GB2312" w:cs="宋体"/>
          <w:color w:val="000000" w:themeColor="text1"/>
          <w:kern w:val="0"/>
          <w:sz w:val="28"/>
          <w:szCs w:val="28"/>
          <w14:textFill>
            <w14:solidFill>
              <w14:schemeClr w14:val="tx1"/>
            </w14:solidFill>
          </w14:textFill>
        </w:rPr>
        <w:t>围绕开拓多元国际市场</w:t>
      </w:r>
      <w:r>
        <w:rPr>
          <w:rFonts w:hint="eastAsia" w:ascii="仿宋_GB2312" w:hAnsi="仿宋" w:eastAsia="仿宋_GB2312" w:cs="宋体"/>
          <w:color w:val="000000" w:themeColor="text1"/>
          <w:kern w:val="0"/>
          <w:sz w:val="28"/>
          <w:szCs w:val="28"/>
          <w14:textFill>
            <w14:solidFill>
              <w14:schemeClr w14:val="tx1"/>
            </w14:solidFill>
          </w14:textFill>
        </w:rPr>
        <w:t>，</w:t>
      </w:r>
      <w:r>
        <w:rPr>
          <w:rFonts w:ascii="仿宋_GB2312" w:hAnsi="仿宋" w:eastAsia="仿宋_GB2312" w:cs="宋体"/>
          <w:color w:val="000000" w:themeColor="text1"/>
          <w:kern w:val="0"/>
          <w:sz w:val="28"/>
          <w:szCs w:val="28"/>
          <w14:textFill>
            <w14:solidFill>
              <w14:schemeClr w14:val="tx1"/>
            </w14:solidFill>
          </w14:textFill>
        </w:rPr>
        <w:t>着力培强</w:t>
      </w:r>
      <w:r>
        <w:rPr>
          <w:rFonts w:hint="eastAsia" w:ascii="仿宋_GB2312" w:hAnsi="仿宋" w:eastAsia="仿宋_GB2312" w:cs="宋体"/>
          <w:color w:val="000000" w:themeColor="text1"/>
          <w:kern w:val="0"/>
          <w:sz w:val="28"/>
          <w:szCs w:val="28"/>
          <w14:textFill>
            <w14:solidFill>
              <w14:schemeClr w14:val="tx1"/>
            </w14:solidFill>
          </w14:textFill>
        </w:rPr>
        <w:t>外贸主体，打造一批出口优势领军企业，培育一批出口“专精特新”中小企业。积极参加“河北品牌全球行”等活动，支持企业建立</w:t>
      </w:r>
      <w:r>
        <w:rPr>
          <w:rFonts w:ascii="仿宋_GB2312" w:hAnsi="仿宋" w:eastAsia="仿宋_GB2312" w:cs="宋体"/>
          <w:color w:val="000000" w:themeColor="text1"/>
          <w:kern w:val="0"/>
          <w:sz w:val="28"/>
          <w:szCs w:val="28"/>
          <w14:textFill>
            <w14:solidFill>
              <w14:schemeClr w14:val="tx1"/>
            </w14:solidFill>
          </w14:textFill>
        </w:rPr>
        <w:t>海外采购中心</w:t>
      </w:r>
      <w:r>
        <w:rPr>
          <w:rFonts w:hint="eastAsia" w:ascii="仿宋_GB2312" w:hAnsi="仿宋" w:eastAsia="仿宋_GB2312" w:cs="宋体"/>
          <w:color w:val="000000" w:themeColor="text1"/>
          <w:kern w:val="0"/>
          <w:sz w:val="28"/>
          <w:szCs w:val="28"/>
          <w14:textFill>
            <w14:solidFill>
              <w14:schemeClr w14:val="tx1"/>
            </w14:solidFill>
          </w14:textFill>
        </w:rPr>
        <w:t>、境外展示交易中心</w:t>
      </w:r>
      <w:r>
        <w:rPr>
          <w:rFonts w:ascii="仿宋_GB2312" w:hAnsi="仿宋" w:eastAsia="仿宋_GB2312" w:cs="宋体"/>
          <w:color w:val="000000" w:themeColor="text1"/>
          <w:kern w:val="0"/>
          <w:sz w:val="28"/>
          <w:szCs w:val="28"/>
          <w14:textFill>
            <w14:solidFill>
              <w14:schemeClr w14:val="tx1"/>
            </w14:solidFill>
          </w14:textFill>
        </w:rPr>
        <w:t>等</w:t>
      </w:r>
      <w:r>
        <w:rPr>
          <w:rFonts w:hint="eastAsia" w:ascii="仿宋_GB2312" w:hAnsi="仿宋" w:eastAsia="仿宋_GB2312" w:cs="宋体"/>
          <w:color w:val="000000" w:themeColor="text1"/>
          <w:kern w:val="0"/>
          <w:sz w:val="28"/>
          <w:szCs w:val="28"/>
          <w14:textFill>
            <w14:solidFill>
              <w14:schemeClr w14:val="tx1"/>
            </w14:solidFill>
          </w14:textFill>
        </w:rPr>
        <w:t>，精心组织企业参加中国国际进口博览会，支持企业利用进口贴息、免（减）税政策，扩大先进设备和关键零部件等进口。力争到2025年，全县</w:t>
      </w:r>
      <w:r>
        <w:rPr>
          <w:rFonts w:ascii="仿宋_GB2312" w:hAnsi="仿宋" w:eastAsia="仿宋_GB2312" w:cs="宋体"/>
          <w:color w:val="000000" w:themeColor="text1"/>
          <w:kern w:val="0"/>
          <w:sz w:val="28"/>
          <w:szCs w:val="28"/>
          <w14:textFill>
            <w14:solidFill>
              <w14:schemeClr w14:val="tx1"/>
            </w14:solidFill>
          </w14:textFill>
        </w:rPr>
        <w:t>实际利用外资</w:t>
      </w:r>
      <w:r>
        <w:rPr>
          <w:rFonts w:hint="eastAsia" w:ascii="仿宋_GB2312" w:hAnsi="仿宋" w:eastAsia="仿宋_GB2312" w:cs="宋体"/>
          <w:color w:val="000000" w:themeColor="text1"/>
          <w:kern w:val="0"/>
          <w:sz w:val="28"/>
          <w:szCs w:val="28"/>
          <w14:textFill>
            <w14:solidFill>
              <w14:schemeClr w14:val="tx1"/>
            </w14:solidFill>
          </w14:textFill>
        </w:rPr>
        <w:t>7000万</w:t>
      </w:r>
      <w:r>
        <w:rPr>
          <w:rFonts w:ascii="仿宋_GB2312" w:hAnsi="仿宋" w:eastAsia="仿宋_GB2312" w:cs="宋体"/>
          <w:color w:val="000000" w:themeColor="text1"/>
          <w:kern w:val="0"/>
          <w:sz w:val="28"/>
          <w:szCs w:val="28"/>
          <w14:textFill>
            <w14:solidFill>
              <w14:schemeClr w14:val="tx1"/>
            </w14:solidFill>
          </w14:textFill>
        </w:rPr>
        <w:t>美元</w:t>
      </w:r>
      <w:r>
        <w:rPr>
          <w:rFonts w:hint="eastAsia" w:ascii="仿宋_GB2312" w:hAnsi="仿宋" w:eastAsia="仿宋_GB2312" w:cs="宋体"/>
          <w:color w:val="000000" w:themeColor="text1"/>
          <w:kern w:val="0"/>
          <w:sz w:val="28"/>
          <w:szCs w:val="28"/>
          <w14:textFill>
            <w14:solidFill>
              <w14:schemeClr w14:val="tx1"/>
            </w14:solidFill>
          </w14:textFill>
        </w:rPr>
        <w:t>，进出口总额达到</w:t>
      </w:r>
      <w:r>
        <w:rPr>
          <w:rFonts w:ascii="仿宋_GB2312" w:hAnsi="仿宋" w:eastAsia="仿宋_GB2312" w:cs="宋体"/>
          <w:color w:val="000000" w:themeColor="text1"/>
          <w:kern w:val="0"/>
          <w:sz w:val="28"/>
          <w:szCs w:val="28"/>
          <w14:textFill>
            <w14:solidFill>
              <w14:schemeClr w14:val="tx1"/>
            </w14:solidFill>
          </w14:textFill>
        </w:rPr>
        <w:t>5</w:t>
      </w:r>
      <w:r>
        <w:rPr>
          <w:rFonts w:hint="eastAsia" w:ascii="仿宋_GB2312" w:hAnsi="仿宋" w:eastAsia="仿宋_GB2312" w:cs="宋体"/>
          <w:color w:val="000000" w:themeColor="text1"/>
          <w:kern w:val="0"/>
          <w:sz w:val="28"/>
          <w:szCs w:val="28"/>
          <w14:textFill>
            <w14:solidFill>
              <w14:schemeClr w14:val="tx1"/>
            </w14:solidFill>
          </w14:textFill>
        </w:rPr>
        <w:t>亿美元以上。</w:t>
      </w:r>
      <w:bookmarkStart w:id="187" w:name="_Toc3101"/>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0" w:firstLineChars="200"/>
        <w:textAlignment w:val="auto"/>
        <w:rPr>
          <w:rFonts w:ascii="楷体_GB2312" w:hAnsi="楷体_GB2312" w:eastAsia="楷体_GB2312" w:cs="楷体_GB2312"/>
          <w:b w:val="0"/>
          <w:bCs/>
          <w:color w:val="000000" w:themeColor="text1"/>
          <w:kern w:val="0"/>
          <w:sz w:val="28"/>
          <w:szCs w:val="28"/>
          <w14:textFill>
            <w14:solidFill>
              <w14:schemeClr w14:val="tx1"/>
            </w14:solidFill>
          </w14:textFill>
        </w:rPr>
      </w:pPr>
      <w:r>
        <w:rPr>
          <w:rFonts w:hint="eastAsia" w:ascii="楷体_GB2312" w:hAnsi="楷体_GB2312" w:eastAsia="楷体_GB2312" w:cs="楷体_GB2312"/>
          <w:b w:val="0"/>
          <w:bCs/>
          <w:color w:val="000000" w:themeColor="text1"/>
          <w:kern w:val="0"/>
          <w:sz w:val="28"/>
          <w:szCs w:val="28"/>
          <w14:textFill>
            <w14:solidFill>
              <w14:schemeClr w14:val="tx1"/>
            </w14:solidFill>
          </w14:textFill>
        </w:rPr>
        <w:t>（五）着力加强产业载体建设</w:t>
      </w:r>
      <w:bookmarkEnd w:id="187"/>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坚持把经济开发区作为清河的“特区”来打造，推动项目、资金、技术、人才等要素加速向开发区聚集，“十四五”期间，开发区实现跨入千亿级开发区行列，争创为国家级开发区。</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持续完善基础设施。</w:t>
      </w:r>
      <w:r>
        <w:rPr>
          <w:rFonts w:hint="eastAsia" w:ascii="仿宋_GB2312" w:hAnsi="仿宋_GB2312" w:eastAsia="仿宋_GB2312" w:cs="仿宋_GB2312"/>
          <w:color w:val="000000" w:themeColor="text1"/>
          <w:sz w:val="28"/>
          <w:szCs w:val="28"/>
          <w:lang w:eastAsia="zh-CN"/>
          <w14:textFill>
            <w14:solidFill>
              <w14:schemeClr w14:val="tx1"/>
            </w14:solidFill>
          </w14:textFill>
        </w:rPr>
        <w:t>进一步完善</w:t>
      </w:r>
      <w:r>
        <w:rPr>
          <w:rFonts w:hint="eastAsia" w:ascii="仿宋_GB2312" w:hAnsi="仿宋_GB2312" w:eastAsia="仿宋_GB2312" w:cs="仿宋_GB2312"/>
          <w:color w:val="000000" w:themeColor="text1"/>
          <w:sz w:val="28"/>
          <w:szCs w:val="28"/>
          <w14:textFill>
            <w14:solidFill>
              <w14:schemeClr w14:val="tx1"/>
            </w14:solidFill>
          </w14:textFill>
        </w:rPr>
        <w:t>路、电、水、气、讯等基础设施，提升园区承载力。着力构建“五横十纵”的主干路系统结构；扩建城南地表水厂、城南污水</w:t>
      </w:r>
      <w:r>
        <w:rPr>
          <w:rFonts w:hint="eastAsia" w:ascii="仿宋_GB2312" w:hAnsi="仿宋_GB2312" w:eastAsia="仿宋_GB2312" w:cs="仿宋_GB2312"/>
          <w:color w:val="000000" w:themeColor="text1"/>
          <w:kern w:val="0"/>
          <w:sz w:val="28"/>
          <w:szCs w:val="28"/>
          <w:lang w:bidi="ar"/>
          <w14:textFill>
            <w14:solidFill>
              <w14:schemeClr w14:val="tx1"/>
            </w14:solidFill>
          </w14:textFill>
        </w:rPr>
        <w:t>处理厂等供排水工程设施，规划实施新建开发区110千伏变电站、扩建园区供热站等</w:t>
      </w:r>
      <w:r>
        <w:rPr>
          <w:rFonts w:hint="eastAsia" w:ascii="仿宋_GB2312" w:hAnsi="仿宋_GB2312" w:eastAsia="仿宋_GB2312" w:cs="仿宋_GB2312"/>
          <w:color w:val="000000" w:themeColor="text1"/>
          <w:sz w:val="28"/>
          <w:szCs w:val="28"/>
          <w14:textFill>
            <w14:solidFill>
              <w14:schemeClr w14:val="tx1"/>
            </w14:solidFill>
          </w14:textFill>
        </w:rPr>
        <w:t>能源工程项目。</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持续优化营商环境。</w:t>
      </w:r>
      <w:r>
        <w:rPr>
          <w:rFonts w:hint="eastAsia" w:ascii="仿宋_GB2312" w:hAnsi="仿宋_GB2312" w:eastAsia="仿宋_GB2312" w:cs="仿宋_GB2312"/>
          <w:color w:val="000000" w:themeColor="text1"/>
          <w:sz w:val="28"/>
          <w:szCs w:val="28"/>
          <w14:textFill>
            <w14:solidFill>
              <w14:schemeClr w14:val="tx1"/>
            </w14:solidFill>
          </w14:textFill>
        </w:rPr>
        <w:t>做大做强开发区平台公司，提高资本运作能力，注入发展新活力；推动一批与人才队伍配套的商业居住、文化教育、医疗健康等生活配套的公共服务设施建设；继续深化“三简三全”服务，创新智能审批模式，实现申请不跑腿、审批不见面，打造成全国一流的营商环境示范区。</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spacing w:line="560" w:lineRule="exact"/>
        <w:ind w:firstLine="562" w:firstLineChars="200"/>
        <w:textAlignment w:val="auto"/>
        <w:rPr>
          <w:rFonts w:ascii="仿宋_GB2312" w:hAnsi="仿宋_GB2312" w:eastAsia="仿宋_GB2312" w:cs="仿宋_GB2312"/>
          <w:color w:val="000000" w:themeColor="text1"/>
          <w:sz w:val="28"/>
          <w:szCs w:val="28"/>
          <w:lang w:bidi="ar"/>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做好园中园平台建设。</w:t>
      </w:r>
      <w:r>
        <w:rPr>
          <w:rFonts w:hint="eastAsia" w:ascii="仿宋_GB2312" w:hAnsi="仿宋_GB2312" w:eastAsia="仿宋_GB2312" w:cs="仿宋_GB2312"/>
          <w:color w:val="000000" w:themeColor="text1"/>
          <w:sz w:val="28"/>
          <w:szCs w:val="28"/>
          <w14:textFill>
            <w14:solidFill>
              <w14:schemeClr w14:val="tx1"/>
            </w14:solidFill>
          </w14:textFill>
        </w:rPr>
        <w:t>充分发挥开发区平台公司的市场作用，按照高标准规划、高门槛入驻的原则，集中打造小微企业聚集发展平台（中小企业孵化园）、羊绒产业高端平台（清河国际羊绒服饰柔性快反基地）、汽配产业高端平台（温州汽配产业园）和中科院创新孵化基地等四个项目承载平台</w:t>
      </w:r>
      <w:bookmarkStart w:id="188" w:name="_Toc15327"/>
      <w:r>
        <w:rPr>
          <w:rFonts w:hint="eastAsia" w:ascii="仿宋_GB2312" w:hAnsi="仿宋_GB2312" w:eastAsia="仿宋_GB2312" w:cs="仿宋_GB2312"/>
          <w:color w:val="000000" w:themeColor="text1"/>
          <w:sz w:val="28"/>
          <w:szCs w:val="28"/>
          <w14:textFill>
            <w14:solidFill>
              <w14:schemeClr w14:val="tx1"/>
            </w14:solidFill>
          </w14:textFill>
        </w:rPr>
        <w:t>。</w:t>
      </w:r>
      <w:bookmarkStart w:id="189" w:name="_Toc13472"/>
      <w:r>
        <w:rPr>
          <w:rFonts w:hint="eastAsia" w:ascii="仿宋_GB2312" w:hAnsi="仿宋_GB2312" w:eastAsia="仿宋_GB2312" w:cs="仿宋_GB2312"/>
          <w:color w:val="000000" w:themeColor="text1"/>
          <w:sz w:val="28"/>
          <w:szCs w:val="28"/>
          <w14:textFill>
            <w14:solidFill>
              <w14:schemeClr w14:val="tx1"/>
            </w14:solidFill>
          </w14:textFill>
        </w:rPr>
        <w:t>谋划建设合金电商孵化园，</w:t>
      </w:r>
      <w:r>
        <w:rPr>
          <w:rFonts w:hint="eastAsia" w:ascii="仿宋_GB2312" w:hAnsi="仿宋_GB2312" w:eastAsia="仿宋_GB2312" w:cs="仿宋_GB2312"/>
          <w:color w:val="000000" w:themeColor="text1"/>
          <w:sz w:val="28"/>
          <w:szCs w:val="28"/>
          <w:lang w:bidi="ar"/>
          <w14:textFill>
            <w14:solidFill>
              <w14:schemeClr w14:val="tx1"/>
            </w14:solidFill>
          </w14:textFill>
        </w:rPr>
        <w:t>吸纳合金企业入基地集聚发展，完善形成加工</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bidi="ar"/>
          <w14:textFill>
            <w14:solidFill>
              <w14:schemeClr w14:val="tx1"/>
            </w14:solidFill>
          </w14:textFill>
        </w:rPr>
        <w:t>销售</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bidi="ar"/>
          <w14:textFill>
            <w14:solidFill>
              <w14:schemeClr w14:val="tx1"/>
            </w14:solidFill>
          </w14:textFill>
        </w:rPr>
        <w:t>仓储</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bidi="ar"/>
          <w14:textFill>
            <w14:solidFill>
              <w14:schemeClr w14:val="tx1"/>
            </w14:solidFill>
          </w14:textFill>
        </w:rPr>
        <w:t>配送整套产业链条，促进合金产业可持续发展。</w:t>
      </w:r>
    </w:p>
    <w:p>
      <w:pPr>
        <w:keepNext w:val="0"/>
        <w:keepLines w:val="0"/>
        <w:pageBreakBefore w:val="0"/>
        <w:widowControl w:val="0"/>
        <w:numPr>
          <w:ilvl w:val="0"/>
          <w:numId w:val="3"/>
        </w:numPr>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spacing w:line="560" w:lineRule="exact"/>
        <w:ind w:firstLine="560" w:firstLineChars="200"/>
        <w:textAlignment w:val="auto"/>
        <w:outlineLvl w:val="1"/>
        <w:rPr>
          <w:rStyle w:val="32"/>
          <w:rFonts w:ascii="黑体" w:hAnsi="黑体" w:eastAsia="黑体"/>
          <w:b w:val="0"/>
          <w:bCs w:val="0"/>
          <w:color w:val="000000" w:themeColor="text1"/>
          <w:sz w:val="28"/>
          <w:szCs w:val="28"/>
          <w14:textFill>
            <w14:solidFill>
              <w14:schemeClr w14:val="tx1"/>
            </w14:solidFill>
          </w14:textFill>
        </w:rPr>
      </w:pPr>
      <w:bookmarkStart w:id="190" w:name="_Toc23574"/>
      <w:r>
        <w:rPr>
          <w:rStyle w:val="32"/>
          <w:rFonts w:hint="eastAsia" w:ascii="黑体" w:hAnsi="黑体" w:eastAsia="黑体"/>
          <w:b w:val="0"/>
          <w:bCs w:val="0"/>
          <w:color w:val="000000" w:themeColor="text1"/>
          <w:sz w:val="28"/>
          <w:szCs w:val="28"/>
          <w14:textFill>
            <w14:solidFill>
              <w14:schemeClr w14:val="tx1"/>
            </w14:solidFill>
          </w14:textFill>
        </w:rPr>
        <w:t>统筹城乡融合，拓展高质量赶超发展新空间</w:t>
      </w:r>
      <w:bookmarkEnd w:id="188"/>
      <w:bookmarkEnd w:id="189"/>
      <w:bookmarkEnd w:id="190"/>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spacing w:line="560" w:lineRule="exact"/>
        <w:ind w:firstLine="560" w:firstLineChars="200"/>
        <w:textAlignment w:val="auto"/>
        <w:rPr>
          <w:rFonts w:ascii="仿宋_GB2312" w:hAnsi="仿宋_GB2312" w:eastAsia="仿宋_GB2312" w:cs="仿宋_GB2312"/>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按照“一城三区”“一核三带”战略</w:t>
      </w:r>
      <w:r>
        <w:rPr>
          <w:rFonts w:hint="eastAsia" w:ascii="仿宋_GB2312" w:hAnsi="仿宋_GB2312" w:eastAsia="仿宋_GB2312" w:cs="仿宋_GB2312"/>
          <w:color w:val="000000" w:themeColor="text1"/>
          <w:sz w:val="28"/>
          <w:szCs w:val="28"/>
          <w:lang w:eastAsia="zh-CN"/>
          <w14:textFill>
            <w14:solidFill>
              <w14:schemeClr w14:val="tx1"/>
            </w14:solidFill>
          </w14:textFill>
        </w:rPr>
        <w:t>布局</w:t>
      </w:r>
      <w:r>
        <w:rPr>
          <w:rFonts w:hint="eastAsia" w:ascii="仿宋_GB2312" w:hAnsi="仿宋_GB2312" w:eastAsia="仿宋_GB2312" w:cs="仿宋_GB2312"/>
          <w:color w:val="000000" w:themeColor="text1"/>
          <w:sz w:val="28"/>
          <w:szCs w:val="28"/>
          <w14:textFill>
            <w14:solidFill>
              <w14:schemeClr w14:val="tx1"/>
            </w14:solidFill>
          </w14:textFill>
        </w:rPr>
        <w:t>，立足清河现有产业基础、资源优势和未来产业发展需求，结合功能定位，推动产城融合，促进城乡联动发展</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按照“小县域大县城”思路，科学确定城市发展定位和县域功能</w:t>
      </w:r>
      <w:r>
        <w:rPr>
          <w:rFonts w:hint="eastAsia" w:ascii="仿宋_GB2312" w:hAnsi="仿宋_GB2312" w:eastAsia="仿宋_GB2312" w:cs="仿宋_GB2312"/>
          <w:color w:val="000000" w:themeColor="text1"/>
          <w:kern w:val="0"/>
          <w:sz w:val="28"/>
          <w:szCs w:val="28"/>
          <w:lang w:bidi="ar"/>
          <w14:textFill>
            <w14:solidFill>
              <w14:schemeClr w14:val="tx1"/>
            </w14:solidFill>
          </w14:textFill>
        </w:rPr>
        <w:t>布局，提升城乡建设水平，加快撤县设市步伐，构建高质量赶超发展支撑体系。</w:t>
      </w:r>
      <w:bookmarkStart w:id="191" w:name="_Toc953"/>
    </w:p>
    <w:p>
      <w:pPr>
        <w:keepNext w:val="0"/>
        <w:keepLines w:val="0"/>
        <w:pageBreakBefore w:val="0"/>
        <w:widowControl w:val="0"/>
        <w:numPr>
          <w:ilvl w:val="0"/>
          <w:numId w:val="4"/>
        </w:numPr>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spacing w:line="560" w:lineRule="exact"/>
        <w:textAlignment w:val="auto"/>
        <w:outlineLvl w:val="2"/>
        <w:rPr>
          <w:rFonts w:ascii="楷体_GB2312" w:hAnsi="楷体_GB2312" w:eastAsia="楷体_GB2312" w:cs="楷体_GB2312"/>
          <w:b w:val="0"/>
          <w:bCs w:val="0"/>
          <w:color w:val="000000" w:themeColor="text1"/>
          <w:sz w:val="28"/>
          <w:szCs w:val="28"/>
          <w14:textFill>
            <w14:solidFill>
              <w14:schemeClr w14:val="tx1"/>
            </w14:solidFill>
          </w14:textFill>
        </w:rPr>
      </w:pPr>
      <w:bookmarkStart w:id="192" w:name="_Toc15968"/>
      <w:r>
        <w:rPr>
          <w:rFonts w:hint="eastAsia" w:ascii="楷体_GB2312" w:hAnsi="楷体_GB2312" w:eastAsia="楷体_GB2312" w:cs="楷体_GB2312"/>
          <w:b w:val="0"/>
          <w:bCs w:val="0"/>
          <w:color w:val="000000" w:themeColor="text1"/>
          <w:sz w:val="28"/>
          <w:szCs w:val="28"/>
          <w14:textFill>
            <w14:solidFill>
              <w14:schemeClr w14:val="tx1"/>
            </w14:solidFill>
          </w14:textFill>
        </w:rPr>
        <w:t>完善国土空间开发保护体系</w:t>
      </w:r>
      <w:bookmarkEnd w:id="191"/>
      <w:bookmarkEnd w:id="192"/>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全面落实省市国土空间规划，推动总体规划与国土空间规划、专项规划的有机衔接。立足资源禀赋和环境承载能力，强化全域、全要素的配置与安排，科学划定生态保护红线、永久基本农田、城镇开发边界三条控制线，逐步形成城市化地区、农产品主产区、生态功能区三大空间格局，优化重大基础设施、重大生产力和公共资源布局。支持城市化地区高效聚集经济和人口、保护基本农田和生态空间，支持农产品主产区增强农业生产能力，支持生态功能区把发展重点放到保护生态环境、提供生态产品上，支持生态功能区的人口逐步有序转移。</w:t>
      </w:r>
    </w:p>
    <w:p>
      <w:pPr>
        <w:keepNext w:val="0"/>
        <w:keepLines w:val="0"/>
        <w:pageBreakBefore w:val="0"/>
        <w:widowControl w:val="0"/>
        <w:numPr>
          <w:ilvl w:val="0"/>
          <w:numId w:val="4"/>
        </w:numPr>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spacing w:line="560" w:lineRule="exact"/>
        <w:textAlignment w:val="auto"/>
        <w:outlineLvl w:val="2"/>
        <w:rPr>
          <w:rFonts w:ascii="楷体_GB2312" w:hAnsi="楷体_GB2312" w:eastAsia="楷体_GB2312" w:cs="楷体_GB2312"/>
          <w:b w:val="0"/>
          <w:bCs w:val="0"/>
          <w:color w:val="000000" w:themeColor="text1"/>
          <w:sz w:val="28"/>
          <w:szCs w:val="28"/>
          <w14:textFill>
            <w14:solidFill>
              <w14:schemeClr w14:val="tx1"/>
            </w14:solidFill>
          </w14:textFill>
        </w:rPr>
      </w:pPr>
      <w:bookmarkStart w:id="193" w:name="_Toc14225"/>
      <w:r>
        <w:rPr>
          <w:rFonts w:hint="eastAsia" w:ascii="楷体_GB2312" w:hAnsi="楷体_GB2312" w:eastAsia="楷体_GB2312" w:cs="楷体_GB2312"/>
          <w:b w:val="0"/>
          <w:bCs w:val="0"/>
          <w:color w:val="000000" w:themeColor="text1"/>
          <w:sz w:val="28"/>
          <w:szCs w:val="28"/>
          <w14:textFill>
            <w14:solidFill>
              <w14:schemeClr w14:val="tx1"/>
            </w14:solidFill>
          </w14:textFill>
        </w:rPr>
        <w:t>开展中心城市成长行动</w:t>
      </w:r>
      <w:bookmarkEnd w:id="193"/>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1.做大做强中心城区</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按照“东扩、西融、南拓、北通”的“四向发展”思路，突出规划引领，进一步拉大城市框架。</w:t>
      </w:r>
      <w:r>
        <w:rPr>
          <w:rFonts w:hint="eastAsia" w:ascii="仿宋_GB2312" w:hAnsi="仿宋_GB2312" w:eastAsia="仿宋_GB2312" w:cs="仿宋_GB2312"/>
          <w:b/>
          <w:color w:val="000000" w:themeColor="text1"/>
          <w:sz w:val="28"/>
          <w:szCs w:val="28"/>
          <w14:textFill>
            <w14:solidFill>
              <w14:schemeClr w14:val="tx1"/>
            </w14:solidFill>
          </w14:textFill>
        </w:rPr>
        <w:t>东扩：</w:t>
      </w:r>
      <w:r>
        <w:rPr>
          <w:rFonts w:hint="eastAsia" w:ascii="仿宋_GB2312" w:hAnsi="仿宋_GB2312" w:eastAsia="仿宋_GB2312" w:cs="仿宋_GB2312"/>
          <w:bCs/>
          <w:color w:val="000000" w:themeColor="text1"/>
          <w:sz w:val="28"/>
          <w:szCs w:val="28"/>
          <w14:textFill>
            <w14:solidFill>
              <w14:schemeClr w14:val="tx1"/>
            </w14:solidFill>
          </w14:textFill>
        </w:rPr>
        <w:t>启动县城东部区域的发展规划，建设长江街、绒谷大街、长城大街跨京九铁路东延，实现与新308国道实现联通；</w:t>
      </w:r>
      <w:r>
        <w:rPr>
          <w:rFonts w:hint="eastAsia" w:ascii="仿宋_GB2312" w:hAnsi="仿宋_GB2312" w:eastAsia="仿宋_GB2312" w:cs="仿宋_GB2312"/>
          <w:b/>
          <w:color w:val="000000" w:themeColor="text1"/>
          <w:sz w:val="28"/>
          <w:szCs w:val="28"/>
          <w14:textFill>
            <w14:solidFill>
              <w14:schemeClr w14:val="tx1"/>
            </w14:solidFill>
          </w14:textFill>
        </w:rPr>
        <w:t>西融：</w:t>
      </w:r>
      <w:r>
        <w:rPr>
          <w:rFonts w:hint="eastAsia" w:ascii="仿宋_GB2312" w:hAnsi="仿宋_GB2312" w:eastAsia="仿宋_GB2312" w:cs="仿宋_GB2312"/>
          <w:color w:val="000000" w:themeColor="text1"/>
          <w:sz w:val="28"/>
          <w:szCs w:val="28"/>
          <w14:textFill>
            <w14:solidFill>
              <w14:schemeClr w14:val="tx1"/>
            </w14:solidFill>
          </w14:textFill>
        </w:rPr>
        <w:t>建成长江街和赣江街跨清水河桥，使青阳新区与主城区融为一体</w:t>
      </w:r>
      <w:r>
        <w:rPr>
          <w:rFonts w:hint="eastAsia" w:ascii="仿宋_GB2312" w:hAnsi="仿宋_GB2312" w:eastAsia="仿宋_GB2312" w:cs="仿宋_GB2312"/>
          <w:bCs/>
          <w:color w:val="000000" w:themeColor="text1"/>
          <w:sz w:val="28"/>
          <w:szCs w:val="28"/>
          <w14:textFill>
            <w14:solidFill>
              <w14:schemeClr w14:val="tx1"/>
            </w14:solidFill>
          </w14:textFill>
        </w:rPr>
        <w:t>；</w:t>
      </w:r>
      <w:r>
        <w:rPr>
          <w:rFonts w:hint="eastAsia" w:ascii="仿宋_GB2312" w:hAnsi="仿宋_GB2312" w:eastAsia="仿宋_GB2312" w:cs="仿宋_GB2312"/>
          <w:b/>
          <w:color w:val="000000" w:themeColor="text1"/>
          <w:sz w:val="28"/>
          <w:szCs w:val="28"/>
          <w14:textFill>
            <w14:solidFill>
              <w14:schemeClr w14:val="tx1"/>
            </w14:solidFill>
          </w14:textFill>
        </w:rPr>
        <w:t>南拓：</w:t>
      </w:r>
      <w:r>
        <w:rPr>
          <w:rFonts w:hint="eastAsia" w:ascii="仿宋_GB2312" w:hAnsi="仿宋_GB2312" w:eastAsia="仿宋_GB2312" w:cs="仿宋_GB2312"/>
          <w:bCs/>
          <w:color w:val="000000" w:themeColor="text1"/>
          <w:sz w:val="28"/>
          <w:szCs w:val="28"/>
          <w14:textFill>
            <w14:solidFill>
              <w14:schemeClr w14:val="tx1"/>
            </w14:solidFill>
          </w14:textFill>
        </w:rPr>
        <w:t>重点加快建设城市南环；</w:t>
      </w:r>
      <w:r>
        <w:rPr>
          <w:rFonts w:hint="eastAsia" w:ascii="仿宋_GB2312" w:hAnsi="仿宋_GB2312" w:eastAsia="仿宋_GB2312" w:cs="仿宋_GB2312"/>
          <w:b/>
          <w:color w:val="000000" w:themeColor="text1"/>
          <w:sz w:val="28"/>
          <w:szCs w:val="28"/>
          <w14:textFill>
            <w14:solidFill>
              <w14:schemeClr w14:val="tx1"/>
            </w14:solidFill>
          </w14:textFill>
        </w:rPr>
        <w:t>北通：</w:t>
      </w:r>
      <w:r>
        <w:rPr>
          <w:rFonts w:hint="eastAsia" w:ascii="仿宋_GB2312" w:hAnsi="仿宋_GB2312" w:eastAsia="仿宋_GB2312" w:cs="仿宋_GB2312"/>
          <w:bCs/>
          <w:color w:val="000000" w:themeColor="text1"/>
          <w:sz w:val="28"/>
          <w:szCs w:val="28"/>
          <w14:textFill>
            <w14:solidFill>
              <w14:schemeClr w14:val="tx1"/>
            </w14:solidFill>
          </w14:textFill>
        </w:rPr>
        <w:t>重点打通华山路等断头路，北延太行路直通G340。强化产业支撑，突出产城融合发</w:t>
      </w:r>
      <w:r>
        <w:rPr>
          <w:rFonts w:hint="eastAsia" w:ascii="仿宋_GB2312" w:hAnsi="仿宋_GB2312" w:eastAsia="仿宋_GB2312" w:cs="仿宋_GB2312"/>
          <w:color w:val="000000" w:themeColor="text1"/>
          <w:sz w:val="28"/>
          <w:szCs w:val="28"/>
          <w14:textFill>
            <w14:solidFill>
              <w14:schemeClr w14:val="tx1"/>
            </w14:solidFill>
          </w14:textFill>
        </w:rPr>
        <w:t>展，吸引人才、人口向中心城区集中，不断壮大中心城区人口规模。到“十四五”末，中心城区建成区面积达</w:t>
      </w:r>
      <w:r>
        <w:rPr>
          <w:rFonts w:ascii="仿宋_GB2312" w:hAnsi="仿宋_GB2312" w:eastAsia="仿宋_GB2312" w:cs="仿宋_GB2312"/>
          <w:color w:val="000000" w:themeColor="text1"/>
          <w:sz w:val="28"/>
          <w:szCs w:val="28"/>
          <w14:textFill>
            <w14:solidFill>
              <w14:schemeClr w14:val="tx1"/>
            </w14:solidFill>
          </w14:textFill>
        </w:rPr>
        <w:t>44</w:t>
      </w:r>
      <w:r>
        <w:rPr>
          <w:rFonts w:hint="eastAsia" w:ascii="仿宋_GB2312" w:hAnsi="仿宋_GB2312" w:eastAsia="仿宋_GB2312" w:cs="仿宋_GB2312"/>
          <w:color w:val="000000" w:themeColor="text1"/>
          <w:sz w:val="28"/>
          <w:szCs w:val="28"/>
          <w14:textFill>
            <w14:solidFill>
              <w14:schemeClr w14:val="tx1"/>
            </w14:solidFill>
          </w14:textFill>
        </w:rPr>
        <w:t>平方公里以上（其中主城区2</w:t>
      </w:r>
      <w:r>
        <w:rPr>
          <w:rFonts w:ascii="仿宋_GB2312" w:hAnsi="仿宋_GB2312" w:eastAsia="仿宋_GB2312" w:cs="仿宋_GB2312"/>
          <w:color w:val="000000" w:themeColor="text1"/>
          <w:sz w:val="28"/>
          <w:szCs w:val="28"/>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平方公里），常住人口达</w:t>
      </w:r>
      <w:r>
        <w:rPr>
          <w:rFonts w:ascii="仿宋_GB2312" w:hAnsi="仿宋_GB2312" w:eastAsia="仿宋_GB2312" w:cs="仿宋_GB2312"/>
          <w:color w:val="000000" w:themeColor="text1"/>
          <w:sz w:val="28"/>
          <w:szCs w:val="28"/>
          <w14:textFill>
            <w14:solidFill>
              <w14:schemeClr w14:val="tx1"/>
            </w14:solidFill>
          </w14:textFill>
        </w:rPr>
        <w:t>24</w:t>
      </w:r>
      <w:r>
        <w:rPr>
          <w:rFonts w:hint="eastAsia" w:ascii="仿宋_GB2312" w:hAnsi="仿宋_GB2312" w:eastAsia="仿宋_GB2312" w:cs="仿宋_GB2312"/>
          <w:color w:val="000000" w:themeColor="text1"/>
          <w:sz w:val="28"/>
          <w:szCs w:val="28"/>
          <w14:textFill>
            <w14:solidFill>
              <w14:schemeClr w14:val="tx1"/>
            </w14:solidFill>
          </w14:textFill>
        </w:rPr>
        <w:t>万人以上。</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2.优化城市空间布局</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坚持“以产兴城、以城促产、产城互动”理念，构建“一核、两轴、四区”的中心城区空间格局。</w:t>
      </w:r>
      <w:r>
        <w:rPr>
          <w:rFonts w:hint="eastAsia" w:ascii="仿宋_GB2312" w:hAnsi="仿宋_GB2312" w:eastAsia="仿宋_GB2312" w:cs="仿宋_GB2312"/>
          <w:b/>
          <w:bCs/>
          <w:color w:val="000000" w:themeColor="text1"/>
          <w:sz w:val="28"/>
          <w:szCs w:val="28"/>
          <w14:textFill>
            <w14:solidFill>
              <w14:schemeClr w14:val="tx1"/>
            </w14:solidFill>
          </w14:textFill>
        </w:rPr>
        <w:t>“一核”</w:t>
      </w:r>
      <w:r>
        <w:rPr>
          <w:rFonts w:hint="eastAsia" w:ascii="仿宋_GB2312" w:hAnsi="仿宋_GB2312" w:eastAsia="仿宋_GB2312" w:cs="仿宋_GB2312"/>
          <w:color w:val="000000" w:themeColor="text1"/>
          <w:sz w:val="28"/>
          <w:szCs w:val="28"/>
          <w14:textFill>
            <w14:solidFill>
              <w14:schemeClr w14:val="tx1"/>
            </w14:solidFill>
          </w14:textFill>
        </w:rPr>
        <w:t>为城市综合服务核心，位于中心城区中部，规划建设城市级文体、娱乐、商业服务等公共服务设施，依托丰收渠滨水空间，打造高品质城市客厅，成为城市形象展示核心。</w:t>
      </w:r>
      <w:r>
        <w:rPr>
          <w:rFonts w:hint="eastAsia" w:ascii="仿宋_GB2312" w:hAnsi="仿宋_GB2312" w:eastAsia="仿宋_GB2312" w:cs="仿宋_GB2312"/>
          <w:b/>
          <w:bCs/>
          <w:color w:val="000000" w:themeColor="text1"/>
          <w:sz w:val="28"/>
          <w:szCs w:val="28"/>
          <w14:textFill>
            <w14:solidFill>
              <w14:schemeClr w14:val="tx1"/>
            </w14:solidFill>
          </w14:textFill>
        </w:rPr>
        <w:t>“两轴”</w:t>
      </w:r>
      <w:r>
        <w:rPr>
          <w:rFonts w:hint="eastAsia" w:ascii="仿宋_GB2312" w:hAnsi="仿宋_GB2312" w:eastAsia="仿宋_GB2312" w:cs="仿宋_GB2312"/>
          <w:color w:val="000000" w:themeColor="text1"/>
          <w:sz w:val="28"/>
          <w:szCs w:val="28"/>
          <w14:textFill>
            <w14:solidFill>
              <w14:schemeClr w14:val="tx1"/>
            </w14:solidFill>
          </w14:textFill>
        </w:rPr>
        <w:t>即将清水河生态和挥公大道产业带定位为“十字”发展轴。</w:t>
      </w:r>
      <w:r>
        <w:rPr>
          <w:rFonts w:hint="eastAsia" w:ascii="仿宋_GB2312" w:hAnsi="仿宋_GB2312" w:eastAsia="仿宋_GB2312" w:cs="仿宋_GB2312"/>
          <w:b/>
          <w:bCs/>
          <w:color w:val="000000" w:themeColor="text1"/>
          <w:sz w:val="28"/>
          <w:szCs w:val="28"/>
          <w14:textFill>
            <w14:solidFill>
              <w14:schemeClr w14:val="tx1"/>
            </w14:solidFill>
          </w14:textFill>
        </w:rPr>
        <w:t>“四区”</w:t>
      </w:r>
      <w:r>
        <w:rPr>
          <w:rFonts w:hint="eastAsia" w:ascii="仿宋_GB2312" w:hAnsi="仿宋_GB2312" w:eastAsia="仿宋_GB2312" w:cs="仿宋_GB2312"/>
          <w:color w:val="000000" w:themeColor="text1"/>
          <w:sz w:val="28"/>
          <w:szCs w:val="28"/>
          <w14:textFill>
            <w14:solidFill>
              <w14:schemeClr w14:val="tx1"/>
            </w14:solidFill>
          </w14:textFill>
        </w:rPr>
        <w:t>即：将主城区定位为宜居生活服务支撑区，将高铁片区定位为商务会展、生态文旅门户区，将羊绒时尚小镇定位为创意设计和现代展销功能区，将开发区定位为科技创新、成果转化、智能制造承载区和万亩千亿大平台。</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3.抓好基础设施建设</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实施清河客运交通综合枢纽项目，打造便捷、高效、现代的清河西高铁站基础设施配套工程，完善城市道路网体系，建成以主干路为骨干，次干路为集散、支路为地方道路的健康可持续城市道路网体系。强化历史文化保护、塑造城市风貌，加强老旧小区改造和社区建设，继续推进雨污分流改造，建设海绵城市、韧性城市，优化城市功能，提升城市品质。</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对标迎宾大道、城市地标、城市CBD、城市阳台、城市绿道、文化街区、步行街、未来社区等“十大城市标配”，打造一批群众认可、经得起检验的精品工程，不断完善城市核心区功能配套。</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b/>
          <w:color w:val="000000" w:themeColor="text1"/>
          <w:kern w:val="0"/>
          <w:sz w:val="28"/>
          <w:szCs w:val="28"/>
          <w:lang w:bidi="ar"/>
          <w14:textFill>
            <w14:solidFill>
              <w14:schemeClr w14:val="tx1"/>
            </w14:solidFill>
          </w14:textFill>
        </w:rPr>
      </w:pPr>
      <w:r>
        <w:rPr>
          <w:rFonts w:hint="eastAsia" w:ascii="仿宋_GB2312" w:hAnsi="仿宋_GB2312" w:eastAsia="仿宋_GB2312" w:cs="仿宋_GB2312"/>
          <w:b/>
          <w:color w:val="000000" w:themeColor="text1"/>
          <w:kern w:val="0"/>
          <w:sz w:val="28"/>
          <w:szCs w:val="28"/>
          <w:lang w:bidi="ar"/>
          <w14:textFill>
            <w14:solidFill>
              <w14:schemeClr w14:val="tx1"/>
            </w14:solidFill>
          </w14:textFill>
        </w:rPr>
        <w:t>4.完善公共服务体系</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规划构建“县级--社区级”两级公共服务设施系。以建设宜居城市、和谐社区为目标，按照“生活圈居住区”的规划理念，优化布局居住用地，构建9个十五分钟生活圈、若干个十分钟生活圈基本公共服务设施网络。到2025年，实现卫生、教育、文化、体育等社区公共服务设施十五分钟步行可达覆盖率50%以上。</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5.强化生态城市建设</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深化国家卫生城市创建成果，扎实推进卫生城、森林城创建，确保早日进入全国文明县城提名行列。依托花海水城项目建设，重点实施挥公大道两侧、高速出入口、渤海路、武松公园绿化美化提升工程，加大对城区围而未建、裸露空地绿化改造力度，拆围透绿、拆违植绿；依托四干九支等河渠谋划建设环城穿城水系，构建水城共融、人文和谐、蓝绿交织、花海相映的城市特色，争创国家园林城市。</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6.深化智慧城市建设</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充分发挥数字化驱动引领作用，加强数字经济基础设施建设，全力推进智慧城市三期项目建设，健全数字化城市监管体系，重点实施时空大数据平台、智慧交通、智慧社区系统、智慧环保大数据系统、慧眼守土智慧森防系统等子系统建设，加快建设云上城市、时空清河，带动城市治理精确高效、城市服务即时便捷、城市运行安全可靠、城市经济智能绿色、城市生活安全舒适，争创省级智慧城市示范县。</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7.激发城市经济活力</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大力引进培育城市经济综合体、楼宇经济、电商经济、创意经济等城市经济新业态，加快引进一批纳税超500万元以上楼宇经济项目、3000平方米以上众创空间，积极打造特色风情街区，聚力繁荣“夜间经济”。</w:t>
      </w:r>
    </w:p>
    <w:p>
      <w:pPr>
        <w:keepNext w:val="0"/>
        <w:keepLines w:val="0"/>
        <w:pageBreakBefore w:val="0"/>
        <w:widowControl w:val="0"/>
        <w:numPr>
          <w:ilvl w:val="0"/>
          <w:numId w:val="4"/>
        </w:numPr>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spacing w:line="560" w:lineRule="exact"/>
        <w:textAlignment w:val="auto"/>
        <w:outlineLvl w:val="2"/>
        <w:rPr>
          <w:rFonts w:ascii="楷体_GB2312" w:hAnsi="楷体_GB2312" w:eastAsia="楷体_GB2312" w:cs="楷体_GB2312"/>
          <w:b w:val="0"/>
          <w:bCs w:val="0"/>
          <w:color w:val="000000" w:themeColor="text1"/>
          <w:sz w:val="28"/>
          <w:szCs w:val="28"/>
          <w14:textFill>
            <w14:solidFill>
              <w14:schemeClr w14:val="tx1"/>
            </w14:solidFill>
          </w14:textFill>
        </w:rPr>
      </w:pPr>
      <w:bookmarkStart w:id="194" w:name="_Toc26564"/>
      <w:r>
        <w:rPr>
          <w:rFonts w:hint="eastAsia" w:ascii="楷体_GB2312" w:hAnsi="楷体_GB2312" w:eastAsia="楷体_GB2312" w:cs="楷体_GB2312"/>
          <w:b w:val="0"/>
          <w:bCs w:val="0"/>
          <w:color w:val="000000" w:themeColor="text1"/>
          <w:sz w:val="28"/>
          <w:szCs w:val="28"/>
          <w14:textFill>
            <w14:solidFill>
              <w14:schemeClr w14:val="tx1"/>
            </w14:solidFill>
          </w14:textFill>
        </w:rPr>
        <w:t>推进以人为核心的新型城镇化</w:t>
      </w:r>
      <w:bookmarkEnd w:id="194"/>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1.建设宜居城镇</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引导要素向城镇聚集。</w:t>
      </w:r>
      <w:r>
        <w:rPr>
          <w:rFonts w:hint="eastAsia" w:ascii="仿宋_GB2312" w:hAnsi="仿宋_GB2312" w:eastAsia="仿宋_GB2312" w:cs="仿宋_GB2312"/>
          <w:color w:val="000000" w:themeColor="text1"/>
          <w:sz w:val="28"/>
          <w:szCs w:val="28"/>
          <w14:textFill>
            <w14:solidFill>
              <w14:schemeClr w14:val="tx1"/>
            </w14:solidFill>
          </w14:textFill>
        </w:rPr>
        <w:t>积极调整完善谢炉、油坊等5个镇域总体规划，加大镇区开发建设力度，引导农村人口向建制镇聚集，加快城镇化进程。</w:t>
      </w:r>
      <w:r>
        <w:rPr>
          <w:rFonts w:hint="eastAsia" w:ascii="仿宋_GB2312" w:hAnsi="仿宋_GB2312" w:eastAsia="仿宋_GB2312" w:cs="仿宋_GB2312"/>
          <w:b/>
          <w:bCs/>
          <w:color w:val="000000" w:themeColor="text1"/>
          <w:sz w:val="28"/>
          <w:szCs w:val="28"/>
          <w14:textFill>
            <w14:solidFill>
              <w14:schemeClr w14:val="tx1"/>
            </w14:solidFill>
          </w14:textFill>
        </w:rPr>
        <w:t>实施城市更新行动。</w:t>
      </w:r>
      <w:r>
        <w:rPr>
          <w:rFonts w:hint="eastAsia" w:ascii="仿宋_GB2312" w:hAnsi="仿宋_GB2312" w:eastAsia="仿宋_GB2312" w:cs="仿宋_GB2312"/>
          <w:color w:val="000000" w:themeColor="text1"/>
          <w:sz w:val="28"/>
          <w:szCs w:val="28"/>
          <w14:textFill>
            <w14:solidFill>
              <w14:schemeClr w14:val="tx1"/>
            </w14:solidFill>
          </w14:textFill>
        </w:rPr>
        <w:t>加大依法拆违拆迁力度，完善城镇基础设施和公共服务，提升镇驻地建设管理水平，促进县城和各镇区协调发展，改善居住条件。</w:t>
      </w:r>
      <w:r>
        <w:rPr>
          <w:rFonts w:hint="eastAsia" w:ascii="仿宋_GB2312" w:hAnsi="仿宋_GB2312" w:eastAsia="仿宋_GB2312" w:cs="仿宋_GB2312"/>
          <w:b/>
          <w:bCs/>
          <w:color w:val="000000" w:themeColor="text1"/>
          <w:sz w:val="28"/>
          <w:szCs w:val="28"/>
          <w14:textFill>
            <w14:solidFill>
              <w14:schemeClr w14:val="tx1"/>
            </w14:solidFill>
          </w14:textFill>
        </w:rPr>
        <w:t>提升公共服务水平</w:t>
      </w:r>
      <w:r>
        <w:rPr>
          <w:rFonts w:hint="eastAsia" w:ascii="仿宋_GB2312" w:hAnsi="仿宋_GB2312" w:eastAsia="仿宋_GB2312" w:cs="仿宋_GB2312"/>
          <w:color w:val="000000" w:themeColor="text1"/>
          <w:sz w:val="28"/>
          <w:szCs w:val="28"/>
          <w14:textFill>
            <w14:solidFill>
              <w14:schemeClr w14:val="tx1"/>
            </w14:solidFill>
          </w14:textFill>
        </w:rPr>
        <w:t>。依托镇区构建30分钟乡村高等级生活圈，基本实现镇域全覆盖，结合乡镇产业特色，科学合理配套基本公共服务设施，满足居民公共服务需求。</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2.培育特色小镇</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沿着“产城融合、聚集发展”理念，着力建好羊绒时尚小镇，培育连庄商贸特色小镇、油坊文旅特色小镇、坝营现代农业特色小镇，逐步建成1+3的特色小镇发展格局。</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着力建设羊绒时尚小镇。</w:t>
      </w:r>
      <w:r>
        <w:rPr>
          <w:rFonts w:hint="eastAsia" w:ascii="仿宋_GB2312" w:hAnsi="仿宋_GB2312" w:eastAsia="仿宋_GB2312" w:cs="仿宋_GB2312"/>
          <w:color w:val="000000" w:themeColor="text1"/>
          <w:sz w:val="28"/>
          <w:szCs w:val="28"/>
          <w14:textFill>
            <w14:solidFill>
              <w14:schemeClr w14:val="tx1"/>
            </w14:solidFill>
          </w14:textFill>
        </w:rPr>
        <w:t>做好小镇功能分区和配套基础设施建设，对小镇功能分区进行科学规划，重点建设原创设计中心、直播供应链基地、智慧物流园、羊绒研究院、大学生实训基地等基础设施。完善提升羊绒大厦，建成集原创设计、流行趋势发布、品牌博览展销、个性化定制、跨境电商、网红直播等多业态于一体的商务楼宇，打造成为城市新地标、立起来的“开发区”和楼宇经济新标杆。争创“</w:t>
      </w:r>
      <w:r>
        <w:rPr>
          <w:rFonts w:ascii="仿宋_GB2312" w:hAnsi="仿宋_GB2312" w:eastAsia="仿宋_GB2312" w:cs="仿宋_GB2312"/>
          <w:color w:val="000000" w:themeColor="text1"/>
          <w:sz w:val="28"/>
          <w:szCs w:val="28"/>
          <w14:textFill>
            <w14:solidFill>
              <w14:schemeClr w14:val="tx1"/>
            </w14:solidFill>
          </w14:textFill>
        </w:rPr>
        <w:t>AAA</w:t>
      </w:r>
      <w:r>
        <w:rPr>
          <w:rFonts w:hint="eastAsia" w:ascii="仿宋_GB2312" w:hAnsi="仿宋_GB2312" w:eastAsia="仿宋_GB2312" w:cs="仿宋_GB2312"/>
          <w:color w:val="000000" w:themeColor="text1"/>
          <w:sz w:val="28"/>
          <w:szCs w:val="28"/>
          <w14:textFill>
            <w14:solidFill>
              <w14:schemeClr w14:val="tx1"/>
            </w14:solidFill>
          </w14:textFill>
        </w:rPr>
        <w:t>A”级景区，健全羊绒小镇功能配套，改造提升绒谷大街、绒都大街、羊绒主题广场，新建游客中心、产业链微工厂，优化品牌展销中心、创客咖啡等平台功能，把羊绒小镇打造成为产业升级的强引擎。</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大力培育特色小镇。</w:t>
      </w:r>
      <w:r>
        <w:rPr>
          <w:rFonts w:hint="eastAsia" w:ascii="仿宋_GB2312" w:hAnsi="仿宋_GB2312" w:eastAsia="仿宋_GB2312" w:cs="仿宋_GB2312"/>
          <w:color w:val="000000" w:themeColor="text1"/>
          <w:sz w:val="28"/>
          <w:szCs w:val="28"/>
          <w14:textFill>
            <w14:solidFill>
              <w14:schemeClr w14:val="tx1"/>
            </w14:solidFill>
          </w14:textFill>
        </w:rPr>
        <w:t>立足连庄、油坊、坝营三个重点镇的自然禀赋，实现特色发展。连庄镇依托战略金属贸易，打造商贸特色小镇；油坊镇依托京杭大运河生态带，打造文旅特色小镇；坝营镇依托特色观光种植，打造现代农业特色小镇。进一步深化体制改革，赋予特色小镇更多事权、财权，探索市场化运营机制，引入第三方资本推动小镇基础设施、配套服务建设，最大限度优化要素配置、解放发展活力。</w:t>
      </w:r>
    </w:p>
    <w:p>
      <w:pPr>
        <w:keepNext w:val="0"/>
        <w:keepLines w:val="0"/>
        <w:pageBreakBefore w:val="0"/>
        <w:widowControl w:val="0"/>
        <w:numPr>
          <w:ilvl w:val="0"/>
          <w:numId w:val="4"/>
        </w:numPr>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spacing w:line="560" w:lineRule="exact"/>
        <w:textAlignment w:val="auto"/>
        <w:outlineLvl w:val="2"/>
        <w:rPr>
          <w:rFonts w:ascii="楷体_GB2312" w:hAnsi="楷体_GB2312" w:eastAsia="楷体_GB2312" w:cs="楷体_GB2312"/>
          <w:b w:val="0"/>
          <w:bCs w:val="0"/>
          <w:color w:val="000000" w:themeColor="text1"/>
          <w:sz w:val="28"/>
          <w:szCs w:val="28"/>
          <w14:textFill>
            <w14:solidFill>
              <w14:schemeClr w14:val="tx1"/>
            </w14:solidFill>
          </w14:textFill>
        </w:rPr>
      </w:pPr>
      <w:bookmarkStart w:id="195" w:name="_Toc20491"/>
      <w:r>
        <w:rPr>
          <w:rFonts w:hint="eastAsia" w:ascii="楷体_GB2312" w:hAnsi="楷体_GB2312" w:eastAsia="楷体_GB2312" w:cs="楷体_GB2312"/>
          <w:b w:val="0"/>
          <w:bCs w:val="0"/>
          <w:color w:val="000000" w:themeColor="text1"/>
          <w:sz w:val="28"/>
          <w:szCs w:val="28"/>
          <w14:textFill>
            <w14:solidFill>
              <w14:schemeClr w14:val="tx1"/>
            </w14:solidFill>
          </w14:textFill>
        </w:rPr>
        <w:t>实施美丽乡村建设行动</w:t>
      </w:r>
      <w:bookmarkEnd w:id="195"/>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1.统筹城乡布局</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结合城镇开发边界划定、产业空间布局，在保护传统村落和乡村风貌的基础上，以及村庄建设用地和人口规模，划分乡村类型，稳步推进合村并居、空心村治理工作，集聚提升一批，城郊融合一批，特色保护一批，搬迁撤并一批。</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2.深化农村改革</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color w:val="000000" w:themeColor="text1"/>
          <w:sz w:val="28"/>
          <w:szCs w:val="28"/>
          <w:lang w:bidi="ar"/>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推进农村土地制度改革，落实第二轮土地承包到期后延长30年政策；完善农村产权交易中心功能，进一步盘活农村资产，拓宽农民融资渠道。以农村集体产权制度改革为契机，发展壮大集体经济；组织开展农村集体经济组织法人登记，2021年基本完成农村集体经营性资产股份合作制改革。培育发展一批集体经济强村，到2025年，实现集体经济年收入超过10万元的村占比达到</w:t>
      </w:r>
      <w:r>
        <w:rPr>
          <w:rFonts w:ascii="仿宋_GB2312" w:hAnsi="仿宋_GB2312" w:eastAsia="仿宋_GB2312" w:cs="仿宋_GB2312"/>
          <w:color w:val="000000" w:themeColor="text1"/>
          <w:sz w:val="28"/>
          <w:szCs w:val="28"/>
          <w:lang w:bidi="ar"/>
          <w14:textFill>
            <w14:solidFill>
              <w14:schemeClr w14:val="tx1"/>
            </w14:solidFill>
          </w14:textFill>
        </w:rPr>
        <w:t>60</w:t>
      </w:r>
      <w:r>
        <w:rPr>
          <w:rFonts w:hint="eastAsia" w:ascii="仿宋_GB2312" w:hAnsi="仿宋_GB2312" w:eastAsia="仿宋_GB2312" w:cs="仿宋_GB2312"/>
          <w:color w:val="000000" w:themeColor="text1"/>
          <w:sz w:val="28"/>
          <w:szCs w:val="28"/>
          <w:lang w:bidi="ar"/>
          <w14:textFill>
            <w14:solidFill>
              <w14:schemeClr w14:val="tx1"/>
            </w14:solidFill>
          </w14:textFill>
        </w:rPr>
        <w:t>%以上。</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3.改善人居环境</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展农村面貌改造提升行动，完善乡村水、电、路、气、通信和物流基础设施，大力创建“四好农村路”示范县。高标准开展农村人居环境整治三年行动，大力实施村庄绿化、亮化、美化工程，着力推进农村改厕、生活垃圾无害化处理和农村生活污水治理，提升城乡环卫一体化运营水平。推动形成绿色发展方式和生活方式，打造生态宜居、环境优美的新家园。“十四五”期间，确保我县农村人居环境整治工作继续走在全省前列。</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4.塑造文明乡风</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以社会主义核心价值观为引领，充分挖掘传统文化内涵，加强文化载体建设，丰富群众文化生活，打造古今融汇、慈孝敦睦、魅力多彩的乡村文明。</w:t>
      </w:r>
      <w:bookmarkStart w:id="196" w:name="_Toc7916"/>
      <w:r>
        <w:rPr>
          <w:rFonts w:hint="eastAsia" w:ascii="仿宋_GB2312" w:hAnsi="仿宋_GB2312" w:eastAsia="仿宋_GB2312" w:cs="仿宋_GB2312"/>
          <w:color w:val="000000" w:themeColor="text1"/>
          <w:sz w:val="28"/>
          <w:szCs w:val="28"/>
          <w14:textFill>
            <w14:solidFill>
              <w14:schemeClr w14:val="tx1"/>
            </w14:solidFill>
          </w14:textFill>
        </w:rPr>
        <w:t>高标准抓好新时代文明实践中心建设，以打造“全国试点的清河样板”为目标，建好县级新时代文明实践中心、镇级实践所、村级实践站三级阵地，搭建理论宣讲、教体服务、文化服务、科普服务、卫生健康等五大服务平台，实施时代之声、爱心扶贫、健康小屋等十大精品项目，孵化百支团队，组织千人管理，带动万人参与，让文明新风吹进千家万户，让文明服务滋润群众心田，让文明之花开遍清河大地。</w:t>
      </w:r>
      <w:bookmarkStart w:id="197" w:name="_Toc9029"/>
      <w:bookmarkStart w:id="198" w:name="_Toc24533"/>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0" w:firstLineChars="200"/>
        <w:textAlignment w:val="auto"/>
        <w:outlineLvl w:val="1"/>
        <w:rPr>
          <w:rStyle w:val="32"/>
          <w:rFonts w:ascii="黑体" w:hAnsi="黑体" w:eastAsia="黑体"/>
          <w:b w:val="0"/>
          <w:bCs w:val="0"/>
          <w:color w:val="000000" w:themeColor="text1"/>
          <w:sz w:val="28"/>
          <w:szCs w:val="28"/>
          <w14:textFill>
            <w14:solidFill>
              <w14:schemeClr w14:val="tx1"/>
            </w14:solidFill>
          </w14:textFill>
        </w:rPr>
      </w:pPr>
      <w:bookmarkStart w:id="199" w:name="_Toc2054"/>
      <w:r>
        <w:rPr>
          <w:rStyle w:val="32"/>
          <w:rFonts w:hint="eastAsia" w:ascii="黑体" w:hAnsi="黑体" w:eastAsia="黑体"/>
          <w:b w:val="0"/>
          <w:bCs w:val="0"/>
          <w:color w:val="000000" w:themeColor="text1"/>
          <w:sz w:val="28"/>
          <w:szCs w:val="28"/>
          <w14:textFill>
            <w14:solidFill>
              <w14:schemeClr w14:val="tx1"/>
            </w14:solidFill>
          </w14:textFill>
        </w:rPr>
        <w:t>七、聚焦绿色生态，绘就高质量赶超发展靓丽色</w:t>
      </w:r>
      <w:bookmarkEnd w:id="196"/>
      <w:r>
        <w:rPr>
          <w:rStyle w:val="32"/>
          <w:rFonts w:hint="eastAsia" w:ascii="黑体" w:hAnsi="黑体" w:eastAsia="黑体"/>
          <w:b w:val="0"/>
          <w:bCs w:val="0"/>
          <w:color w:val="000000" w:themeColor="text1"/>
          <w:sz w:val="28"/>
          <w:szCs w:val="28"/>
          <w14:textFill>
            <w14:solidFill>
              <w14:schemeClr w14:val="tx1"/>
            </w14:solidFill>
          </w14:textFill>
        </w:rPr>
        <w:t>彩</w:t>
      </w:r>
      <w:bookmarkEnd w:id="197"/>
      <w:bookmarkEnd w:id="198"/>
      <w:bookmarkEnd w:id="199"/>
      <w:bookmarkStart w:id="200" w:name="_Toc9819"/>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牢固树立“绿水青山就是金山银山”理念，以改善生态环境质量为核心，补齐生态文明建设短板，推动生态环境持续改善，加快营造良好人居环境，努力建设生态清河。</w:t>
      </w:r>
    </w:p>
    <w:p>
      <w:pPr>
        <w:keepNext w:val="0"/>
        <w:keepLines w:val="0"/>
        <w:pageBreakBefore w:val="0"/>
        <w:widowControl w:val="0"/>
        <w:numPr>
          <w:ilvl w:val="0"/>
          <w:numId w:val="5"/>
        </w:numPr>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textAlignment w:val="auto"/>
        <w:outlineLvl w:val="2"/>
        <w:rPr>
          <w:rFonts w:ascii="楷体_GB2312" w:hAnsi="楷体_GB2312" w:eastAsia="楷体_GB2312" w:cs="楷体_GB2312"/>
          <w:b w:val="0"/>
          <w:bCs/>
          <w:color w:val="000000" w:themeColor="text1"/>
          <w:sz w:val="28"/>
          <w:szCs w:val="28"/>
          <w14:textFill>
            <w14:solidFill>
              <w14:schemeClr w14:val="tx1"/>
            </w14:solidFill>
          </w14:textFill>
        </w:rPr>
      </w:pPr>
      <w:bookmarkStart w:id="201" w:name="_Toc15188"/>
      <w:r>
        <w:rPr>
          <w:rFonts w:hint="eastAsia" w:ascii="楷体_GB2312" w:hAnsi="楷体_GB2312" w:eastAsia="楷体_GB2312" w:cs="楷体_GB2312"/>
          <w:b w:val="0"/>
          <w:bCs/>
          <w:color w:val="000000" w:themeColor="text1"/>
          <w:sz w:val="28"/>
          <w:szCs w:val="28"/>
          <w14:textFill>
            <w14:solidFill>
              <w14:schemeClr w14:val="tx1"/>
            </w14:solidFill>
          </w14:textFill>
        </w:rPr>
        <w:t>打好环境污染防治攻坚战</w:t>
      </w:r>
      <w:bookmarkEnd w:id="201"/>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坚持“生态优先、绿色发展”，突出大气、水、土壤等重点领域污染治理工作，持续实施“蓝天”“碧水”“净土”专项行动，建设生态净美清河。</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1.强力开展“蓝天行动”</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围绕空气质量改善和省市下达各项污染防治任务，紧紧盯住PM2.5、PM10等关键指标，瞄准重点区域、重点领域、重点时段，加强大气污染联防联控，强力推进“减煤、抑尘、控车、治企”等重点工作，确保空气质量持续改善，基本消除重污染天气。严格落实“多排多限、少排少限、不排不限”要求，寓管理于服务，确保更多企业升为B级。积极探索有效措施，加大监管力度，着力解决重点领域同类问题反复反弹现象，杜绝污染物随意排放现象，确保让人民群众看见更多蓝天白云，呼吸到更加清洁的空气。</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2.持续改善水生态环境</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按照《河北省水污染防治工作方案》要求，充分发挥牵头、督导作用，推进重污染河流水质改善、纳污坑塘整治、工业污水达标整治等工作。深入贯彻落实河（湖）长制，落实“一断面一方案、一河一策”要求，持续开展河湖水环境治理，加快碧蓝和开发区污水处理厂提质提标，强化国省考河流断面监测、污染防治、生态修复；扎实开展河湖“清四乱”行动，加快清河湖、陈二庄西北区域湿地建设。持续开展地下水超采综合治理。</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3.扎实开展土壤污染防治</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加强土壤污染预防体系建设，强化固废危废管理，坚持预防为主、保护优先、风险管控的原则，突出农用地和建设用地两大重点，扎实开展土壤污染防治工作，保障土壤环境质量。</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0" w:firstLineChars="200"/>
        <w:textAlignment w:val="auto"/>
        <w:outlineLvl w:val="2"/>
        <w:rPr>
          <w:rFonts w:ascii="仿宋_GB2312" w:hAnsi="仿宋_GB2312" w:eastAsia="仿宋_GB2312" w:cs="仿宋_GB2312"/>
          <w:color w:val="000000" w:themeColor="text1"/>
          <w:sz w:val="28"/>
          <w:szCs w:val="28"/>
          <w14:textFill>
            <w14:solidFill>
              <w14:schemeClr w14:val="tx1"/>
            </w14:solidFill>
          </w14:textFill>
        </w:rPr>
      </w:pPr>
      <w:bookmarkStart w:id="202" w:name="_Toc18070"/>
      <w:r>
        <w:rPr>
          <w:rFonts w:hint="eastAsia" w:ascii="楷体_GB2312" w:hAnsi="楷体_GB2312" w:eastAsia="楷体_GB2312" w:cs="楷体_GB2312"/>
          <w:b w:val="0"/>
          <w:bCs/>
          <w:color w:val="000000" w:themeColor="text1"/>
          <w:sz w:val="28"/>
          <w:szCs w:val="28"/>
          <w:lang w:eastAsia="zh-CN"/>
          <w14:textFill>
            <w14:solidFill>
              <w14:schemeClr w14:val="tx1"/>
            </w14:solidFill>
          </w14:textFill>
        </w:rPr>
        <w:t>（二）</w:t>
      </w:r>
      <w:r>
        <w:rPr>
          <w:rFonts w:hint="eastAsia" w:ascii="楷体_GB2312" w:hAnsi="楷体_GB2312" w:eastAsia="楷体_GB2312" w:cs="楷体_GB2312"/>
          <w:b w:val="0"/>
          <w:bCs/>
          <w:color w:val="000000" w:themeColor="text1"/>
          <w:sz w:val="28"/>
          <w:szCs w:val="28"/>
          <w14:textFill>
            <w14:solidFill>
              <w14:schemeClr w14:val="tx1"/>
            </w14:solidFill>
          </w14:textFill>
        </w:rPr>
        <w:t>筑牢美丽清河生态底色</w:t>
      </w:r>
      <w:bookmarkEnd w:id="202"/>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0" w:firstLineChars="200"/>
        <w:textAlignment w:val="auto"/>
        <w:outlineLvl w:val="2"/>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在</w:t>
      </w:r>
      <w:r>
        <w:rPr>
          <w:rFonts w:hint="eastAsia" w:ascii="仿宋_GB2312" w:hAnsi="仿宋_GB2312" w:eastAsia="仿宋_GB2312" w:cs="仿宋_GB2312"/>
          <w:color w:val="000000" w:themeColor="text1"/>
          <w:sz w:val="28"/>
          <w:szCs w:val="28"/>
          <w14:textFill>
            <w14:solidFill>
              <w14:schemeClr w14:val="tx1"/>
            </w14:solidFill>
          </w14:textFill>
        </w:rPr>
        <w:t>明确重点生态功能保护区建设布局的基础上，分批开展，逐步推进，积极探索生态功能保护区建设多样化模式，建立符合我县特点的生态功能</w:t>
      </w:r>
      <w:r>
        <w:rPr>
          <w:rFonts w:hint="eastAsia" w:ascii="仿宋_GB2312" w:hAnsi="仿宋_GB2312" w:eastAsia="仿宋_GB2312" w:cs="仿宋_GB2312"/>
          <w:color w:val="000000" w:themeColor="text1"/>
          <w:spacing w:val="-6"/>
          <w:sz w:val="28"/>
          <w:szCs w:val="28"/>
          <w14:textFill>
            <w14:solidFill>
              <w14:schemeClr w14:val="tx1"/>
            </w14:solidFill>
          </w14:textFill>
        </w:rPr>
        <w:t>保护区格局体系。重点打造“两屏、三廊、多节点”生态格局，做足生态空间，筑牢生态底色。</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两屏：</w:t>
      </w:r>
      <w:r>
        <w:rPr>
          <w:rFonts w:hint="eastAsia" w:ascii="仿宋_GB2312" w:hAnsi="仿宋_GB2312" w:eastAsia="仿宋_GB2312" w:cs="仿宋_GB2312"/>
          <w:color w:val="000000" w:themeColor="text1"/>
          <w:sz w:val="28"/>
          <w:szCs w:val="28"/>
          <w14:textFill>
            <w14:solidFill>
              <w14:schemeClr w14:val="tx1"/>
            </w14:solidFill>
          </w14:textFill>
        </w:rPr>
        <w:t>构筑清凉江、卫运河两道生态屏障，依托生态保护红线划定成果和水土流失治理工作，结合清凉江流域治理和大运河规划，对清凉江、卫运河及南李干渠及其周边的流域开展系统生态修复工程，实施清河湖、开发区城南湿地建设工程，打造“三渠还清、四水绕城”的生态水系景观。</w:t>
      </w:r>
      <w:r>
        <w:rPr>
          <w:rFonts w:hint="eastAsia" w:ascii="仿宋_GB2312" w:hAnsi="仿宋_GB2312" w:eastAsia="仿宋_GB2312" w:cs="仿宋_GB2312"/>
          <w:b/>
          <w:bCs/>
          <w:color w:val="000000" w:themeColor="text1"/>
          <w:kern w:val="0"/>
          <w:sz w:val="28"/>
          <w:szCs w:val="28"/>
          <w14:textFill>
            <w14:solidFill>
              <w14:schemeClr w14:val="tx1"/>
            </w14:solidFill>
          </w14:textFill>
        </w:rPr>
        <w:t>三廊：</w:t>
      </w:r>
      <w:r>
        <w:rPr>
          <w:rFonts w:hint="eastAsia" w:ascii="仿宋_GB2312" w:hAnsi="仿宋_GB2312" w:eastAsia="仿宋_GB2312" w:cs="仿宋_GB2312"/>
          <w:color w:val="000000" w:themeColor="text1"/>
          <w:kern w:val="0"/>
          <w:sz w:val="28"/>
          <w:szCs w:val="28"/>
          <w14:textFill>
            <w14:solidFill>
              <w14:schemeClr w14:val="tx1"/>
            </w14:solidFill>
          </w14:textFill>
        </w:rPr>
        <w:t>清水河中央生态廊道、环城生态廊道和城郊生态廊道。</w:t>
      </w:r>
      <w:r>
        <w:rPr>
          <w:rFonts w:hint="eastAsia" w:ascii="仿宋_GB2312" w:hAnsi="仿宋_GB2312" w:eastAsia="仿宋_GB2312" w:cs="仿宋_GB2312"/>
          <w:b/>
          <w:bCs/>
          <w:color w:val="000000" w:themeColor="text1"/>
          <w:kern w:val="0"/>
          <w:sz w:val="28"/>
          <w:szCs w:val="28"/>
          <w14:textFill>
            <w14:solidFill>
              <w14:schemeClr w14:val="tx1"/>
            </w14:solidFill>
          </w14:textFill>
        </w:rPr>
        <w:t>多节</w:t>
      </w:r>
      <w:r>
        <w:rPr>
          <w:rFonts w:hint="eastAsia" w:ascii="仿宋_GB2312" w:hAnsi="仿宋_GB2312" w:eastAsia="仿宋_GB2312" w:cs="仿宋_GB2312"/>
          <w:b/>
          <w:bCs/>
          <w:color w:val="000000" w:themeColor="text1"/>
          <w:sz w:val="28"/>
          <w:szCs w:val="28"/>
          <w:lang w:val="zh-CN"/>
          <w14:textFill>
            <w14:solidFill>
              <w14:schemeClr w14:val="tx1"/>
            </w14:solidFill>
          </w14:textFill>
        </w:rPr>
        <w:t>点：</w:t>
      </w:r>
      <w:r>
        <w:rPr>
          <w:rFonts w:hint="eastAsia" w:ascii="仿宋_GB2312" w:hAnsi="仿宋_GB2312" w:eastAsia="仿宋_GB2312" w:cs="仿宋_GB2312"/>
          <w:color w:val="000000" w:themeColor="text1"/>
          <w:sz w:val="28"/>
          <w:szCs w:val="28"/>
          <w:lang w:val="zh-CN"/>
          <w14:textFill>
            <w14:solidFill>
              <w14:schemeClr w14:val="tx1"/>
            </w14:solidFill>
          </w14:textFill>
        </w:rPr>
        <w:t>以城</w:t>
      </w:r>
      <w:r>
        <w:rPr>
          <w:rFonts w:hint="eastAsia" w:ascii="仿宋_GB2312" w:hAnsi="仿宋_GB2312" w:eastAsia="仿宋_GB2312" w:cs="仿宋_GB2312"/>
          <w:color w:val="000000" w:themeColor="text1"/>
          <w:sz w:val="28"/>
          <w:szCs w:val="28"/>
          <w14:textFill>
            <w14:solidFill>
              <w14:schemeClr w14:val="tx1"/>
            </w14:solidFill>
          </w14:textFill>
        </w:rPr>
        <w:t>市</w:t>
      </w:r>
      <w:r>
        <w:rPr>
          <w:rFonts w:hint="eastAsia" w:ascii="仿宋_GB2312" w:hAnsi="仿宋_GB2312" w:eastAsia="仿宋_GB2312" w:cs="仿宋_GB2312"/>
          <w:color w:val="000000" w:themeColor="text1"/>
          <w:sz w:val="28"/>
          <w:szCs w:val="28"/>
          <w:lang w:val="zh-CN"/>
          <w14:textFill>
            <w14:solidFill>
              <w14:schemeClr w14:val="tx1"/>
            </w14:solidFill>
          </w14:textFill>
        </w:rPr>
        <w:t>绿化、</w:t>
      </w:r>
      <w:r>
        <w:rPr>
          <w:rFonts w:hint="eastAsia" w:ascii="仿宋_GB2312" w:hAnsi="仿宋_GB2312" w:eastAsia="仿宋_GB2312" w:cs="仿宋_GB2312"/>
          <w:color w:val="000000" w:themeColor="text1"/>
          <w:sz w:val="28"/>
          <w:szCs w:val="28"/>
          <w14:textFill>
            <w14:solidFill>
              <w14:schemeClr w14:val="tx1"/>
            </w14:solidFill>
          </w14:textFill>
        </w:rPr>
        <w:t>乡村绿化、农田林网建设等</w:t>
      </w:r>
      <w:r>
        <w:rPr>
          <w:rFonts w:hint="eastAsia" w:ascii="仿宋_GB2312" w:hAnsi="仿宋_GB2312" w:eastAsia="仿宋_GB2312" w:cs="仿宋_GB2312"/>
          <w:color w:val="000000" w:themeColor="text1"/>
          <w:sz w:val="28"/>
          <w:szCs w:val="28"/>
          <w:lang w:val="zh-CN"/>
          <w14:textFill>
            <w14:solidFill>
              <w14:schemeClr w14:val="tx1"/>
            </w14:solidFill>
          </w14:textFill>
        </w:rPr>
        <w:t>为基础，</w:t>
      </w:r>
      <w:r>
        <w:rPr>
          <w:rFonts w:hint="eastAsia" w:ascii="仿宋_GB2312" w:hAnsi="仿宋_GB2312" w:eastAsia="仿宋_GB2312" w:cs="仿宋_GB2312"/>
          <w:color w:val="000000" w:themeColor="text1"/>
          <w:sz w:val="28"/>
          <w:szCs w:val="28"/>
          <w14:textFill>
            <w14:solidFill>
              <w14:schemeClr w14:val="tx1"/>
            </w14:solidFill>
          </w14:textFill>
        </w:rPr>
        <w:t>开展绿化提升专项行动，增创绿色优势</w:t>
      </w:r>
      <w:r>
        <w:rPr>
          <w:rFonts w:hint="eastAsia" w:ascii="仿宋_GB2312" w:hAnsi="仿宋_GB2312" w:eastAsia="仿宋_GB2312" w:cs="仿宋_GB2312"/>
          <w:color w:val="000000" w:themeColor="text1"/>
          <w:sz w:val="28"/>
          <w:szCs w:val="28"/>
          <w:lang w:val="zh-CN"/>
          <w14:textFill>
            <w14:solidFill>
              <w14:schemeClr w14:val="tx1"/>
            </w14:solidFill>
          </w14:textFill>
        </w:rPr>
        <w:t>。</w:t>
      </w:r>
      <w:bookmarkStart w:id="203" w:name="_Hlk63338223"/>
      <w:r>
        <w:rPr>
          <w:rFonts w:hint="eastAsia" w:ascii="仿宋_GB2312" w:hAnsi="仿宋_GB2312" w:eastAsia="仿宋_GB2312" w:cs="仿宋_GB2312"/>
          <w:color w:val="000000" w:themeColor="text1"/>
          <w:sz w:val="28"/>
          <w:szCs w:val="28"/>
          <w:lang w:val="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十四五</w:t>
      </w:r>
      <w:r>
        <w:rPr>
          <w:rFonts w:hint="eastAsia" w:ascii="仿宋_GB2312" w:hAnsi="仿宋_GB2312" w:eastAsia="仿宋_GB2312" w:cs="仿宋_GB2312"/>
          <w:color w:val="000000" w:themeColor="text1"/>
          <w:sz w:val="28"/>
          <w:szCs w:val="28"/>
          <w:lang w:val="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期间，改造提升综合性公园，新建一批社区公园，实现人均公园绿地面积达到</w:t>
      </w:r>
      <w:r>
        <w:rPr>
          <w:rFonts w:ascii="仿宋_GB2312" w:hAnsi="仿宋_GB2312" w:eastAsia="仿宋_GB2312" w:cs="仿宋_GB2312"/>
          <w:color w:val="000000" w:themeColor="text1"/>
          <w:sz w:val="28"/>
          <w:szCs w:val="28"/>
          <w14:textFill>
            <w14:solidFill>
              <w14:schemeClr w14:val="tx1"/>
            </w14:solidFill>
          </w14:textFill>
        </w:rPr>
        <w:t>12</w:t>
      </w:r>
      <w:r>
        <w:rPr>
          <w:rFonts w:hint="eastAsia" w:ascii="仿宋_GB2312" w:hAnsi="仿宋_GB2312" w:eastAsia="仿宋_GB2312" w:cs="仿宋_GB2312"/>
          <w:color w:val="000000" w:themeColor="text1"/>
          <w:sz w:val="28"/>
          <w:szCs w:val="28"/>
          <w14:textFill>
            <w14:solidFill>
              <w14:schemeClr w14:val="tx1"/>
            </w14:solidFill>
          </w14:textFill>
        </w:rPr>
        <w:t>平方米/人。</w:t>
      </w:r>
      <w:bookmarkEnd w:id="203"/>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0" w:firstLineChars="200"/>
        <w:textAlignment w:val="auto"/>
        <w:outlineLvl w:val="2"/>
        <w:rPr>
          <w:rFonts w:ascii="楷体_GB2312" w:hAnsi="楷体_GB2312" w:eastAsia="楷体_GB2312" w:cs="楷体_GB2312"/>
          <w:b w:val="0"/>
          <w:bCs/>
          <w:color w:val="000000" w:themeColor="text1"/>
          <w:sz w:val="28"/>
          <w:szCs w:val="28"/>
          <w14:textFill>
            <w14:solidFill>
              <w14:schemeClr w14:val="tx1"/>
            </w14:solidFill>
          </w14:textFill>
        </w:rPr>
      </w:pPr>
      <w:bookmarkStart w:id="204" w:name="_Toc20602"/>
      <w:r>
        <w:rPr>
          <w:rFonts w:hint="eastAsia" w:ascii="楷体_GB2312" w:hAnsi="楷体_GB2312" w:eastAsia="楷体_GB2312" w:cs="楷体_GB2312"/>
          <w:b w:val="0"/>
          <w:bCs/>
          <w:color w:val="000000" w:themeColor="text1"/>
          <w:sz w:val="28"/>
          <w:szCs w:val="28"/>
          <w:lang w:eastAsia="zh-CN"/>
          <w14:textFill>
            <w14:solidFill>
              <w14:schemeClr w14:val="tx1"/>
            </w14:solidFill>
          </w14:textFill>
        </w:rPr>
        <w:t>（三）</w:t>
      </w:r>
      <w:r>
        <w:rPr>
          <w:rFonts w:hint="eastAsia" w:ascii="楷体_GB2312" w:hAnsi="楷体_GB2312" w:eastAsia="楷体_GB2312" w:cs="楷体_GB2312"/>
          <w:b w:val="0"/>
          <w:bCs/>
          <w:color w:val="000000" w:themeColor="text1"/>
          <w:sz w:val="28"/>
          <w:szCs w:val="28"/>
          <w14:textFill>
            <w14:solidFill>
              <w14:schemeClr w14:val="tx1"/>
            </w14:solidFill>
          </w14:textFill>
        </w:rPr>
        <w:t>推动生产生活绿色循环低碳发展</w:t>
      </w:r>
      <w:bookmarkEnd w:id="204"/>
      <w:bookmarkStart w:id="205" w:name="_Toc27401"/>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坚持绿色发展、绿色惠民。</w:t>
      </w:r>
      <w:r>
        <w:rPr>
          <w:rFonts w:hint="eastAsia" w:ascii="仿宋_GB2312" w:hAnsi="仿宋_GB2312" w:eastAsia="仿宋_GB2312" w:cs="仿宋_GB2312"/>
          <w:b/>
          <w:bCs/>
          <w:color w:val="000000" w:themeColor="text1"/>
          <w:sz w:val="28"/>
          <w:szCs w:val="28"/>
          <w14:textFill>
            <w14:solidFill>
              <w14:schemeClr w14:val="tx1"/>
            </w14:solidFill>
          </w14:textFill>
        </w:rPr>
        <w:t>一是推行绿色生产。</w:t>
      </w:r>
      <w:bookmarkStart w:id="206" w:name="_Hlk63338940"/>
      <w:r>
        <w:rPr>
          <w:rFonts w:hint="eastAsia" w:ascii="仿宋_GB2312" w:hAnsi="仿宋_GB2312" w:eastAsia="仿宋_GB2312" w:cs="仿宋_GB2312"/>
          <w:color w:val="000000" w:themeColor="text1"/>
          <w:sz w:val="28"/>
          <w:szCs w:val="28"/>
          <w14:textFill>
            <w14:solidFill>
              <w14:schemeClr w14:val="tx1"/>
            </w14:solidFill>
          </w14:textFill>
        </w:rPr>
        <w:t>推行能耗总量和强度、污染物排放总量和浓度双重控制，严格实施项目能评和环评制度，提高能耗、污染物排放管控标准，着力构建节能减排长效机制，力争规上企业绿色工厂。</w:t>
      </w:r>
      <w:bookmarkEnd w:id="206"/>
      <w:r>
        <w:rPr>
          <w:rFonts w:hint="eastAsia" w:ascii="仿宋_GB2312" w:hAnsi="仿宋_GB2312" w:eastAsia="仿宋_GB2312" w:cs="仿宋_GB2312"/>
          <w:b/>
          <w:bCs/>
          <w:color w:val="000000" w:themeColor="text1"/>
          <w:sz w:val="28"/>
          <w:szCs w:val="28"/>
          <w14:textFill>
            <w14:solidFill>
              <w14:schemeClr w14:val="tx1"/>
            </w14:solidFill>
          </w14:textFill>
        </w:rPr>
        <w:t>二是倡导绿色生活。</w:t>
      </w:r>
      <w:r>
        <w:rPr>
          <w:rFonts w:hint="eastAsia" w:ascii="仿宋_GB2312" w:hAnsi="仿宋_GB2312" w:eastAsia="仿宋_GB2312" w:cs="仿宋_GB2312"/>
          <w:color w:val="000000" w:themeColor="text1"/>
          <w:sz w:val="28"/>
          <w:szCs w:val="28"/>
          <w14:textFill>
            <w14:solidFill>
              <w14:schemeClr w14:val="tx1"/>
            </w14:solidFill>
          </w14:textFill>
        </w:rPr>
        <w:t>普遍推行绿色建筑、生活垃圾分类，开展节约型机关、绿色社区、绿色学校、绿色家庭创建，巩固“双代”工程成果，降低能源消耗和碳排放强度，推动形成绿色生活方式，积极打造绿色发展样板；推进绿色殡葬，保持火化率100%，实现集中安葬设施全覆盖，倡导文明祭祀新风尚。</w:t>
      </w:r>
      <w:r>
        <w:rPr>
          <w:rFonts w:hint="eastAsia" w:ascii="仿宋_GB2312" w:hAnsi="仿宋_GB2312" w:eastAsia="仿宋_GB2312" w:cs="仿宋_GB2312"/>
          <w:b/>
          <w:bCs/>
          <w:color w:val="000000" w:themeColor="text1"/>
          <w:sz w:val="28"/>
          <w:szCs w:val="28"/>
          <w14:textFill>
            <w14:solidFill>
              <w14:schemeClr w14:val="tx1"/>
            </w14:solidFill>
          </w14:textFill>
        </w:rPr>
        <w:t>三是完善绿色制度。</w:t>
      </w:r>
      <w:r>
        <w:rPr>
          <w:rFonts w:hint="eastAsia" w:ascii="仿宋_GB2312" w:hAnsi="仿宋_GB2312" w:eastAsia="仿宋_GB2312" w:cs="仿宋_GB2312"/>
          <w:color w:val="000000" w:themeColor="text1"/>
          <w:sz w:val="28"/>
          <w:szCs w:val="28"/>
          <w14:textFill>
            <w14:solidFill>
              <w14:schemeClr w14:val="tx1"/>
            </w14:solidFill>
          </w14:textFill>
        </w:rPr>
        <w:t>严格落实生态环境保护制度，健全绿色发展考评监督制度，继续落实领导干部任期生态文明建设责任制。稳妥推进水价改革，完善阶梯水价等调控政策，健全污水处理收费制度，加快节水型社会建设。完善差别化电价政策，推行绿色产品政府采购制度，建立激励导向的绿色发展制度政策体系。</w:t>
      </w:r>
      <w:bookmarkStart w:id="207" w:name="_Toc32121"/>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0" w:firstLineChars="200"/>
        <w:textAlignment w:val="auto"/>
        <w:outlineLvl w:val="1"/>
        <w:rPr>
          <w:rStyle w:val="32"/>
          <w:rFonts w:ascii="黑体" w:hAnsi="黑体" w:eastAsia="黑体"/>
          <w:b w:val="0"/>
          <w:bCs w:val="0"/>
          <w:color w:val="000000" w:themeColor="text1"/>
          <w:sz w:val="28"/>
          <w:szCs w:val="28"/>
          <w14:textFill>
            <w14:solidFill>
              <w14:schemeClr w14:val="tx1"/>
            </w14:solidFill>
          </w14:textFill>
        </w:rPr>
      </w:pPr>
      <w:bookmarkStart w:id="208" w:name="_Toc7748"/>
      <w:r>
        <w:rPr>
          <w:rStyle w:val="32"/>
          <w:rFonts w:hint="eastAsia" w:ascii="黑体" w:hAnsi="黑体" w:eastAsia="黑体"/>
          <w:b w:val="0"/>
          <w:bCs w:val="0"/>
          <w:color w:val="000000" w:themeColor="text1"/>
          <w:sz w:val="28"/>
          <w:szCs w:val="28"/>
          <w14:textFill>
            <w14:solidFill>
              <w14:schemeClr w14:val="tx1"/>
            </w14:solidFill>
          </w14:textFill>
        </w:rPr>
        <w:t>八、聚焦民生改善，释放高质量赶超发展新红利</w:t>
      </w:r>
      <w:bookmarkEnd w:id="200"/>
      <w:bookmarkEnd w:id="205"/>
      <w:bookmarkEnd w:id="207"/>
      <w:bookmarkEnd w:id="208"/>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0" w:firstLineChars="200"/>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坚持以人民为中心，把人民利益摆在至高无上的地位，加强普惠性、基础性、兜底性民生建设，全力办好民生实事，健全基本公共服务体系，改善人民生活品质，推动民生建设再上新台阶。</w:t>
      </w:r>
      <w:bookmarkStart w:id="209" w:name="_Toc7964"/>
      <w:bookmarkStart w:id="210" w:name="_Toc9569"/>
      <w:bookmarkStart w:id="211" w:name="_Toc26067"/>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0" w:firstLineChars="200"/>
        <w:textAlignment w:val="auto"/>
        <w:outlineLvl w:val="2"/>
        <w:rPr>
          <w:rFonts w:ascii="楷体_GB2312" w:hAnsi="楷体_GB2312" w:eastAsia="楷体_GB2312" w:cs="楷体_GB2312"/>
          <w:b w:val="0"/>
          <w:bCs/>
          <w:color w:val="000000" w:themeColor="text1"/>
          <w:sz w:val="28"/>
          <w:szCs w:val="28"/>
          <w14:textFill>
            <w14:solidFill>
              <w14:schemeClr w14:val="tx1"/>
            </w14:solidFill>
          </w14:textFill>
        </w:rPr>
      </w:pPr>
      <w:bookmarkStart w:id="212" w:name="_Toc26421"/>
      <w:r>
        <w:rPr>
          <w:rFonts w:hint="eastAsia" w:ascii="楷体_GB2312" w:hAnsi="楷体_GB2312" w:eastAsia="楷体_GB2312" w:cs="楷体_GB2312"/>
          <w:b w:val="0"/>
          <w:bCs/>
          <w:color w:val="000000" w:themeColor="text1"/>
          <w:sz w:val="28"/>
          <w:szCs w:val="28"/>
          <w:lang w:eastAsia="zh-CN"/>
          <w14:textFill>
            <w14:solidFill>
              <w14:schemeClr w14:val="tx1"/>
            </w14:solidFill>
          </w14:textFill>
        </w:rPr>
        <w:t>（一）</w:t>
      </w:r>
      <w:r>
        <w:rPr>
          <w:rFonts w:hint="eastAsia" w:ascii="楷体_GB2312" w:hAnsi="楷体_GB2312" w:eastAsia="楷体_GB2312" w:cs="楷体_GB2312"/>
          <w:b w:val="0"/>
          <w:bCs/>
          <w:color w:val="000000" w:themeColor="text1"/>
          <w:sz w:val="28"/>
          <w:szCs w:val="28"/>
          <w14:textFill>
            <w14:solidFill>
              <w14:schemeClr w14:val="tx1"/>
            </w14:solidFill>
          </w14:textFill>
        </w:rPr>
        <w:t>巩固拓展脱贫攻坚成果</w:t>
      </w:r>
      <w:bookmarkEnd w:id="209"/>
      <w:bookmarkEnd w:id="210"/>
      <w:bookmarkEnd w:id="211"/>
      <w:bookmarkEnd w:id="212"/>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保持帮扶政策总体稳定，</w:t>
      </w:r>
      <w:r>
        <w:rPr>
          <w:rFonts w:hint="eastAsia" w:ascii="仿宋_GB2312" w:hAnsi="仿宋_GB2312" w:eastAsia="仿宋_GB2312" w:cs="仿宋_GB2312"/>
          <w:color w:val="000000" w:themeColor="text1"/>
          <w:sz w:val="28"/>
          <w:szCs w:val="28"/>
          <w14:textFill>
            <w14:solidFill>
              <w14:schemeClr w14:val="tx1"/>
            </w14:solidFill>
          </w14:textFill>
        </w:rPr>
        <w:t>严格落实“四个不摘”要求，保持现有帮扶政策、资金支持、帮扶力量总体稳定。</w:t>
      </w:r>
      <w:r>
        <w:rPr>
          <w:rFonts w:hint="eastAsia" w:ascii="仿宋_GB2312" w:hAnsi="仿宋_GB2312" w:eastAsia="仿宋_GB2312" w:cs="仿宋_GB2312"/>
          <w:b/>
          <w:bCs/>
          <w:color w:val="000000" w:themeColor="text1"/>
          <w:sz w:val="28"/>
          <w:szCs w:val="28"/>
          <w14:textFill>
            <w14:solidFill>
              <w14:schemeClr w14:val="tx1"/>
            </w14:solidFill>
          </w14:textFill>
        </w:rPr>
        <w:t>不断健全防贫监测和帮扶机制，</w:t>
      </w:r>
      <w:r>
        <w:rPr>
          <w:rFonts w:hint="eastAsia" w:ascii="仿宋_GB2312" w:hAnsi="仿宋_GB2312" w:eastAsia="仿宋_GB2312" w:cs="仿宋_GB2312"/>
          <w:color w:val="000000" w:themeColor="text1"/>
          <w:sz w:val="28"/>
          <w:szCs w:val="28"/>
          <w14:textFill>
            <w14:solidFill>
              <w14:schemeClr w14:val="tx1"/>
            </w14:solidFill>
          </w14:textFill>
        </w:rPr>
        <w:t>继续对脱贫不稳定、边缘易致贫户开展监测，持续跟踪收入变化和“两不愁三年保障”巩固情况，及时帮扶动态清零，做好“自上而下”“自下而上”双向监测、预警、救助，强化对脱贫不稳定户、边缘易致贫户有针对性地帮扶措施，筑牢防止返贫的坚固防线。</w:t>
      </w:r>
      <w:r>
        <w:rPr>
          <w:rFonts w:hint="eastAsia" w:ascii="仿宋_GB2312" w:hAnsi="仿宋_GB2312" w:eastAsia="仿宋_GB2312" w:cs="仿宋_GB2312"/>
          <w:b/>
          <w:bCs/>
          <w:color w:val="000000" w:themeColor="text1"/>
          <w:sz w:val="28"/>
          <w:szCs w:val="28"/>
          <w14:textFill>
            <w14:solidFill>
              <w14:schemeClr w14:val="tx1"/>
            </w14:solidFill>
          </w14:textFill>
        </w:rPr>
        <w:t>做好脱贫攻坚与乡村振兴有效衔接，</w:t>
      </w:r>
      <w:r>
        <w:rPr>
          <w:rFonts w:hint="eastAsia" w:ascii="仿宋_GB2312" w:hAnsi="仿宋_GB2312" w:eastAsia="仿宋_GB2312" w:cs="仿宋_GB2312"/>
          <w:color w:val="000000" w:themeColor="text1"/>
          <w:sz w:val="28"/>
          <w:szCs w:val="28"/>
          <w14:textFill>
            <w14:solidFill>
              <w14:schemeClr w14:val="tx1"/>
            </w14:solidFill>
          </w14:textFill>
        </w:rPr>
        <w:t>不断创新帮扶措施，发展“一村一品”专业村，持续发展壮大扶贫产业，加大对脱贫人口职业技能培训力度，促进农民增收，确保工作不断档、精神不懈怠、标准不降低。</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0" w:firstLineChars="200"/>
        <w:textAlignment w:val="auto"/>
        <w:outlineLvl w:val="2"/>
        <w:rPr>
          <w:rFonts w:ascii="楷体_GB2312" w:hAnsi="楷体_GB2312" w:eastAsia="楷体_GB2312" w:cs="楷体_GB2312"/>
          <w:b w:val="0"/>
          <w:bCs/>
          <w:color w:val="000000" w:themeColor="text1"/>
          <w:sz w:val="28"/>
          <w:szCs w:val="28"/>
          <w14:textFill>
            <w14:solidFill>
              <w14:schemeClr w14:val="tx1"/>
            </w14:solidFill>
          </w14:textFill>
        </w:rPr>
      </w:pPr>
      <w:bookmarkStart w:id="213" w:name="_Toc22372"/>
      <w:r>
        <w:rPr>
          <w:rFonts w:hint="eastAsia" w:ascii="楷体_GB2312" w:hAnsi="楷体_GB2312" w:eastAsia="楷体_GB2312" w:cs="楷体_GB2312"/>
          <w:b w:val="0"/>
          <w:bCs/>
          <w:color w:val="000000" w:themeColor="text1"/>
          <w:sz w:val="28"/>
          <w:szCs w:val="28"/>
          <w:lang w:eastAsia="zh-CN"/>
          <w14:textFill>
            <w14:solidFill>
              <w14:schemeClr w14:val="tx1"/>
            </w14:solidFill>
          </w14:textFill>
        </w:rPr>
        <w:t>（二）</w:t>
      </w:r>
      <w:r>
        <w:rPr>
          <w:rFonts w:hint="eastAsia" w:ascii="楷体_GB2312" w:hAnsi="楷体_GB2312" w:eastAsia="楷体_GB2312" w:cs="楷体_GB2312"/>
          <w:b w:val="0"/>
          <w:bCs/>
          <w:color w:val="000000" w:themeColor="text1"/>
          <w:sz w:val="28"/>
          <w:szCs w:val="28"/>
          <w14:textFill>
            <w14:solidFill>
              <w14:schemeClr w14:val="tx1"/>
            </w14:solidFill>
          </w14:textFill>
        </w:rPr>
        <w:t>实施就业优先政策</w:t>
      </w:r>
      <w:bookmarkEnd w:id="213"/>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千方百计稳定和扩大就业，树强经济发展就业导向，扩大就业容量，提升就业质量。围绕实现更充分就业、更高质量就业目标，进一步完善就业创业政策支持力度，升级现有公共就业服务信息化平台，促进高校毕业生、退役军人、农民工和就业困难人员等重点群体就业。</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2"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加强返乡创业支持力度，激发返乡创业者积极性。</w:t>
      </w:r>
      <w:r>
        <w:rPr>
          <w:rFonts w:hint="eastAsia" w:ascii="仿宋_GB2312" w:hAnsi="仿宋_GB2312" w:eastAsia="仿宋_GB2312" w:cs="仿宋_GB2312"/>
          <w:color w:val="000000" w:themeColor="text1"/>
          <w:sz w:val="28"/>
          <w:szCs w:val="28"/>
          <w14:textFill>
            <w14:solidFill>
              <w14:schemeClr w14:val="tx1"/>
            </w14:solidFill>
          </w14:textFill>
        </w:rPr>
        <w:t>一是充分发挥创业担保贷款作用，落实贴息贷款政策、创业补贴政策；二是加大创业培训开展力度，开展“量身定做”式的培训，三是依托创业孵化基地建立专家团队，对全县创业者进行创业指导。</w:t>
      </w:r>
      <w:r>
        <w:rPr>
          <w:rFonts w:hint="eastAsia" w:ascii="仿宋_GB2312" w:hAnsi="仿宋_GB2312" w:eastAsia="仿宋_GB2312" w:cs="仿宋_GB2312"/>
          <w:b/>
          <w:bCs/>
          <w:color w:val="000000" w:themeColor="text1"/>
          <w:sz w:val="28"/>
          <w:szCs w:val="28"/>
          <w14:textFill>
            <w14:solidFill>
              <w14:schemeClr w14:val="tx1"/>
            </w14:solidFill>
          </w14:textFill>
        </w:rPr>
        <w:t>拓宽渠道加强培训，提高农村劳动力就业质量。</w:t>
      </w:r>
      <w:r>
        <w:rPr>
          <w:rFonts w:hint="eastAsia" w:ascii="仿宋_GB2312" w:hAnsi="仿宋_GB2312" w:eastAsia="仿宋_GB2312" w:cs="仿宋_GB2312"/>
          <w:color w:val="000000" w:themeColor="text1"/>
          <w:sz w:val="28"/>
          <w:szCs w:val="28"/>
          <w14:textFill>
            <w14:solidFill>
              <w14:schemeClr w14:val="tx1"/>
            </w14:solidFill>
          </w14:textFill>
        </w:rPr>
        <w:t>大力通过开展“就业援助月”“春风行动”“民营企业招聘周”等一系列招聘活动，促进农村富余劳动力转移就业；统筹职业农民、实用技术、劳务品牌等培训资源，狠抓农民工职业技能培训；加快培养农村发展带头人和农村技能服务型、生产经营型人才，引导广大农村劳动力由体力型向技能型、专业型转变，提升就业质量。</w:t>
      </w:r>
      <w:r>
        <w:rPr>
          <w:rFonts w:hint="eastAsia" w:ascii="仿宋_GB2312" w:hAnsi="仿宋_GB2312" w:eastAsia="仿宋_GB2312" w:cs="仿宋_GB2312"/>
          <w:b/>
          <w:bCs/>
          <w:color w:val="000000" w:themeColor="text1"/>
          <w:sz w:val="28"/>
          <w:szCs w:val="28"/>
          <w14:textFill>
            <w14:solidFill>
              <w14:schemeClr w14:val="tx1"/>
            </w14:solidFill>
          </w14:textFill>
        </w:rPr>
        <w:t>加强创业基地建设，营造更优就业创业环境</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培育扶持一批特色突出、功能完善、承载能力强，具有一定示范和辐射带动作用的孵化基地，为创业者提供良好的创业环境和创业服务。“十四五”期间，实现孵化小企业200个，城镇新增就业2万人，培训8000人；充分发挥小额担保贷款职能，不断提高贷款额度、放低贷款门槛、精简发放环节、提升服务效率。</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0" w:firstLineChars="200"/>
        <w:textAlignment w:val="auto"/>
        <w:outlineLvl w:val="2"/>
        <w:rPr>
          <w:rFonts w:ascii="楷体_GB2312" w:hAnsi="楷体_GB2312" w:eastAsia="楷体_GB2312" w:cs="楷体_GB2312"/>
          <w:b w:val="0"/>
          <w:bCs/>
          <w:color w:val="000000" w:themeColor="text1"/>
          <w:sz w:val="28"/>
          <w:szCs w:val="28"/>
          <w14:textFill>
            <w14:solidFill>
              <w14:schemeClr w14:val="tx1"/>
            </w14:solidFill>
          </w14:textFill>
        </w:rPr>
      </w:pPr>
      <w:bookmarkStart w:id="214" w:name="_Toc16387"/>
      <w:r>
        <w:rPr>
          <w:rFonts w:hint="eastAsia" w:ascii="楷体_GB2312" w:hAnsi="楷体_GB2312" w:eastAsia="楷体_GB2312" w:cs="楷体_GB2312"/>
          <w:b w:val="0"/>
          <w:bCs/>
          <w:color w:val="000000" w:themeColor="text1"/>
          <w:sz w:val="28"/>
          <w:szCs w:val="28"/>
          <w:lang w:eastAsia="zh-CN"/>
          <w14:textFill>
            <w14:solidFill>
              <w14:schemeClr w14:val="tx1"/>
            </w14:solidFill>
          </w14:textFill>
        </w:rPr>
        <w:t>（三）</w:t>
      </w:r>
      <w:r>
        <w:rPr>
          <w:rFonts w:hint="eastAsia" w:ascii="楷体_GB2312" w:hAnsi="楷体_GB2312" w:eastAsia="楷体_GB2312" w:cs="楷体_GB2312"/>
          <w:b w:val="0"/>
          <w:bCs/>
          <w:color w:val="000000" w:themeColor="text1"/>
          <w:sz w:val="28"/>
          <w:szCs w:val="28"/>
          <w14:textFill>
            <w14:solidFill>
              <w14:schemeClr w14:val="tx1"/>
            </w14:solidFill>
          </w14:textFill>
        </w:rPr>
        <w:t>开展全民增收行动</w:t>
      </w:r>
      <w:bookmarkEnd w:id="214"/>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坚持多劳多得，提高劳动报酬在初次分配中的比重；加大税收、社保、转移支付等再分配调节力度和精准性，发挥第三次分配作用。</w:t>
      </w:r>
      <w:r>
        <w:rPr>
          <w:rFonts w:hint="eastAsia" w:ascii="仿宋_GB2312" w:hAnsi="仿宋_GB2312" w:eastAsia="仿宋_GB2312" w:cs="仿宋_GB2312"/>
          <w:b/>
          <w:bCs/>
          <w:color w:val="000000" w:themeColor="text1"/>
          <w:sz w:val="28"/>
          <w:szCs w:val="28"/>
          <w14:textFill>
            <w14:solidFill>
              <w14:schemeClr w14:val="tx1"/>
            </w14:solidFill>
          </w14:textFill>
        </w:rPr>
        <w:t>全面落实全民增收三年行动计划</w:t>
      </w:r>
      <w:r>
        <w:rPr>
          <w:rFonts w:hint="eastAsia" w:ascii="仿宋_GB2312" w:hAnsi="仿宋_GB2312" w:eastAsia="仿宋_GB2312" w:cs="仿宋_GB2312"/>
          <w:color w:val="000000" w:themeColor="text1"/>
          <w:sz w:val="28"/>
          <w:szCs w:val="28"/>
          <w14:textFill>
            <w14:solidFill>
              <w14:schemeClr w14:val="tx1"/>
            </w14:solidFill>
          </w14:textFill>
        </w:rPr>
        <w:t>。坚持多措并举，切实增加城乡居民的工资性收入、经营性收入、财产性收入和转移性收入，打好政策激励、技能培训、产业就业、电商富民、特色种养、兜底保障等全民增收组合拳，进一步拓宽群众增收渠道。</w:t>
      </w:r>
      <w:r>
        <w:rPr>
          <w:rFonts w:hint="eastAsia" w:ascii="仿宋_GB2312" w:hAnsi="仿宋_GB2312" w:eastAsia="仿宋_GB2312" w:cs="仿宋_GB2312"/>
          <w:b/>
          <w:bCs/>
          <w:color w:val="000000" w:themeColor="text1"/>
          <w:sz w:val="28"/>
          <w:szCs w:val="28"/>
          <w14:textFill>
            <w14:solidFill>
              <w14:schemeClr w14:val="tx1"/>
            </w14:solidFill>
          </w14:textFill>
        </w:rPr>
        <w:t>大力实施“万元钱”项目</w:t>
      </w:r>
      <w:r>
        <w:rPr>
          <w:rFonts w:hint="eastAsia" w:ascii="仿宋_GB2312" w:hAnsi="仿宋_GB2312" w:eastAsia="仿宋_GB2312" w:cs="仿宋_GB2312"/>
          <w:color w:val="000000" w:themeColor="text1"/>
          <w:sz w:val="28"/>
          <w:szCs w:val="28"/>
          <w14:textFill>
            <w14:solidFill>
              <w14:schemeClr w14:val="tx1"/>
            </w14:solidFill>
          </w14:textFill>
        </w:rPr>
        <w:t>。调优农业结构，发挥清河山楂、中药材、果品、设施蔬菜、奶业等特色优势，培育新型农业经营主体，推进一二三产深度融合，带动农业增效、农民增收。</w:t>
      </w:r>
      <w:r>
        <w:rPr>
          <w:rFonts w:hint="eastAsia" w:ascii="仿宋_GB2312" w:hAnsi="仿宋_GB2312" w:eastAsia="仿宋_GB2312" w:cs="仿宋_GB2312"/>
          <w:b/>
          <w:bCs/>
          <w:color w:val="000000" w:themeColor="text1"/>
          <w:sz w:val="28"/>
          <w:szCs w:val="28"/>
          <w14:textFill>
            <w14:solidFill>
              <w14:schemeClr w14:val="tx1"/>
            </w14:solidFill>
          </w14:textFill>
        </w:rPr>
        <w:t>大力实施全民创业工程</w:t>
      </w:r>
      <w:r>
        <w:rPr>
          <w:rFonts w:hint="eastAsia" w:ascii="仿宋_GB2312" w:hAnsi="仿宋_GB2312" w:eastAsia="仿宋_GB2312" w:cs="仿宋_GB2312"/>
          <w:color w:val="000000" w:themeColor="text1"/>
          <w:sz w:val="28"/>
          <w:szCs w:val="28"/>
          <w14:textFill>
            <w14:solidFill>
              <w14:schemeClr w14:val="tx1"/>
            </w14:solidFill>
          </w14:textFill>
        </w:rPr>
        <w:t>。利用创业孵化基地、创业空间等平台，多元化培育创业主体，以投资倍增行动为抓手拉动就业，着力提高低收入群体收入，扩大中等收入群体。</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0" w:firstLineChars="200"/>
        <w:textAlignment w:val="auto"/>
        <w:outlineLvl w:val="2"/>
        <w:rPr>
          <w:rFonts w:ascii="楷体_GB2312" w:hAnsi="楷体_GB2312" w:eastAsia="楷体_GB2312" w:cs="楷体_GB2312"/>
          <w:b w:val="0"/>
          <w:bCs/>
          <w:color w:val="000000" w:themeColor="text1"/>
          <w:sz w:val="28"/>
          <w:szCs w:val="28"/>
          <w14:textFill>
            <w14:solidFill>
              <w14:schemeClr w14:val="tx1"/>
            </w14:solidFill>
          </w14:textFill>
        </w:rPr>
      </w:pPr>
      <w:bookmarkStart w:id="215" w:name="_Toc19471"/>
      <w:r>
        <w:rPr>
          <w:rFonts w:hint="eastAsia" w:ascii="楷体_GB2312" w:hAnsi="楷体_GB2312" w:eastAsia="楷体_GB2312" w:cs="楷体_GB2312"/>
          <w:b w:val="0"/>
          <w:bCs/>
          <w:color w:val="000000" w:themeColor="text1"/>
          <w:sz w:val="28"/>
          <w:szCs w:val="28"/>
          <w:lang w:eastAsia="zh-CN"/>
          <w14:textFill>
            <w14:solidFill>
              <w14:schemeClr w14:val="tx1"/>
            </w14:solidFill>
          </w14:textFill>
        </w:rPr>
        <w:t>（四）</w:t>
      </w:r>
      <w:r>
        <w:rPr>
          <w:rFonts w:hint="eastAsia" w:ascii="楷体_GB2312" w:hAnsi="楷体_GB2312" w:eastAsia="楷体_GB2312" w:cs="楷体_GB2312"/>
          <w:b w:val="0"/>
          <w:bCs/>
          <w:color w:val="000000" w:themeColor="text1"/>
          <w:sz w:val="28"/>
          <w:szCs w:val="28"/>
          <w14:textFill>
            <w14:solidFill>
              <w14:schemeClr w14:val="tx1"/>
            </w14:solidFill>
          </w14:textFill>
        </w:rPr>
        <w:t>完善社会保障体系</w:t>
      </w:r>
      <w:bookmarkEnd w:id="215"/>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坚持应保尽保原则，构建覆盖全县、统筹城乡、公平统一、可持续的多层次社会保障制度。</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2" w:firstLineChars="200"/>
        <w:textAlignment w:val="auto"/>
        <w:outlineLvl w:val="2"/>
        <w:rPr>
          <w:rFonts w:ascii="仿宋_GB2312" w:hAnsi="仿宋_GB2312" w:eastAsia="仿宋_GB2312" w:cs="仿宋_GB2312"/>
          <w:b/>
          <w:color w:val="000000" w:themeColor="text1"/>
          <w:kern w:val="0"/>
          <w:sz w:val="28"/>
          <w:szCs w:val="28"/>
          <w14:textFill>
            <w14:solidFill>
              <w14:schemeClr w14:val="tx1"/>
            </w14:solidFill>
          </w14:textFill>
        </w:rPr>
      </w:pPr>
      <w:bookmarkStart w:id="216" w:name="_Toc15262"/>
      <w:bookmarkStart w:id="217" w:name="_Toc16867"/>
      <w:bookmarkStart w:id="218" w:name="_Toc32027"/>
      <w:bookmarkStart w:id="219" w:name="_Toc63333020"/>
      <w:bookmarkStart w:id="220" w:name="_Toc63356424"/>
      <w:r>
        <w:rPr>
          <w:rFonts w:hint="eastAsia" w:ascii="仿宋_GB2312" w:hAnsi="仿宋_GB2312" w:eastAsia="仿宋_GB2312" w:cs="仿宋_GB2312"/>
          <w:b/>
          <w:color w:val="000000" w:themeColor="text1"/>
          <w:kern w:val="0"/>
          <w:sz w:val="28"/>
          <w:szCs w:val="28"/>
          <w14:textFill>
            <w14:solidFill>
              <w14:schemeClr w14:val="tx1"/>
            </w14:solidFill>
          </w14:textFill>
        </w:rPr>
        <w:t>1.持续推进社会保险全覆盖</w:t>
      </w:r>
      <w:bookmarkEnd w:id="216"/>
      <w:bookmarkEnd w:id="217"/>
      <w:bookmarkEnd w:id="218"/>
      <w:bookmarkEnd w:id="219"/>
      <w:bookmarkEnd w:id="220"/>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实施全民参保计划，促进和引导各类单位和符合条件的人员长期持续参保，基本实现法定人员全覆盖。“十四五”末，实现参保人数达到22.5万人，参保率达到99%以上，养老金发放率为100%。健全基本医疗保险筹资和待遇调整机制，推进社保转移接续，健全灵活就业人员社保制度。</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2" w:firstLineChars="200"/>
        <w:textAlignment w:val="auto"/>
        <w:outlineLvl w:val="2"/>
        <w:rPr>
          <w:rFonts w:ascii="仿宋_GB2312" w:hAnsi="仿宋_GB2312" w:eastAsia="仿宋_GB2312" w:cs="仿宋_GB2312"/>
          <w:b/>
          <w:color w:val="000000" w:themeColor="text1"/>
          <w:kern w:val="0"/>
          <w:sz w:val="28"/>
          <w:szCs w:val="28"/>
          <w14:textFill>
            <w14:solidFill>
              <w14:schemeClr w14:val="tx1"/>
            </w14:solidFill>
          </w14:textFill>
        </w:rPr>
      </w:pPr>
      <w:bookmarkStart w:id="221" w:name="_Toc63356425"/>
      <w:bookmarkStart w:id="222" w:name="_Toc63333021"/>
      <w:bookmarkStart w:id="223" w:name="_Toc32659"/>
      <w:bookmarkStart w:id="224" w:name="_Toc3944"/>
      <w:bookmarkStart w:id="225" w:name="_Toc29944"/>
      <w:r>
        <w:rPr>
          <w:rFonts w:hint="eastAsia" w:ascii="仿宋_GB2312" w:hAnsi="仿宋_GB2312" w:eastAsia="仿宋_GB2312" w:cs="仿宋_GB2312"/>
          <w:b/>
          <w:color w:val="000000" w:themeColor="text1"/>
          <w:kern w:val="0"/>
          <w:sz w:val="28"/>
          <w:szCs w:val="28"/>
          <w14:textFill>
            <w14:solidFill>
              <w14:schemeClr w14:val="tx1"/>
            </w14:solidFill>
          </w14:textFill>
        </w:rPr>
        <w:t>2.完善社会救助体系</w:t>
      </w:r>
      <w:bookmarkEnd w:id="221"/>
      <w:bookmarkEnd w:id="222"/>
      <w:bookmarkEnd w:id="223"/>
      <w:bookmarkEnd w:id="224"/>
      <w:bookmarkEnd w:id="225"/>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健全分层分类的社会救助体系。加大动态管理力度。加强农村低保、特困对象与建档立卡贫困人口的有效衔接，及时将符合条件的建档立卡贫困户全部纳入保障范围。对符合条件的重病患者、重度残疾人、困难老人、未成年人等特殊困难群体，及时核查，及时审批，及时纳入保障范围，防止漏保漏救，防止他们滑入贫困人口。为失能、半失能特困人员发放特困人员护理补贴，特困对象死亡的发放特困丧葬费；困难群众发生临时性困难的及时发放临时救助。在原有城乡低保、特困人员的基础上，将低收入家庭中的重度残疾人、重病患者等完全丧失劳动能力和部分丧失劳动能力符合条件的人员，纳入基本生活保障范围。</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firstLine="562" w:firstLineChars="200"/>
        <w:textAlignment w:val="auto"/>
        <w:outlineLvl w:val="2"/>
        <w:rPr>
          <w:rFonts w:ascii="仿宋_GB2312" w:hAnsi="仿宋_GB2312" w:eastAsia="仿宋_GB2312" w:cs="仿宋_GB2312"/>
          <w:b/>
          <w:color w:val="000000" w:themeColor="text1"/>
          <w:kern w:val="0"/>
          <w:sz w:val="28"/>
          <w:szCs w:val="28"/>
          <w14:textFill>
            <w14:solidFill>
              <w14:schemeClr w14:val="tx1"/>
            </w14:solidFill>
          </w14:textFill>
        </w:rPr>
      </w:pPr>
      <w:bookmarkStart w:id="226" w:name="_Toc63356426"/>
      <w:bookmarkStart w:id="227" w:name="_Toc25351"/>
      <w:bookmarkStart w:id="228" w:name="_Toc15603"/>
      <w:bookmarkStart w:id="229" w:name="_Toc63333022"/>
      <w:bookmarkStart w:id="230" w:name="_Toc1829"/>
      <w:r>
        <w:rPr>
          <w:rFonts w:hint="eastAsia" w:ascii="仿宋_GB2312" w:hAnsi="仿宋_GB2312" w:eastAsia="仿宋_GB2312" w:cs="仿宋_GB2312"/>
          <w:b/>
          <w:color w:val="000000" w:themeColor="text1"/>
          <w:kern w:val="0"/>
          <w:sz w:val="28"/>
          <w:szCs w:val="28"/>
          <w14:textFill>
            <w14:solidFill>
              <w14:schemeClr w14:val="tx1"/>
            </w14:solidFill>
          </w14:textFill>
        </w:rPr>
        <w:t>3.加大保障性住房建设</w:t>
      </w:r>
      <w:bookmarkEnd w:id="226"/>
      <w:bookmarkEnd w:id="227"/>
      <w:bookmarkEnd w:id="228"/>
      <w:bookmarkEnd w:id="229"/>
      <w:bookmarkEnd w:id="230"/>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充分调动社会资源，灵活采取集中建设、委托代建、社会购买、单位自建、在商品房项目中配建等方式，多渠道筹集保障性住房，提高保障性住房供应能力和水平。加强保障性住房管理，监管配租政策和程序，简化住房保障审批流程，为孤寡病残等困难家庭开辟“绿色通道”，解决低保、低收入困难家庭住房问题。</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firstLine="562" w:firstLineChars="200"/>
        <w:textAlignment w:val="auto"/>
        <w:outlineLvl w:val="2"/>
        <w:rPr>
          <w:rFonts w:ascii="仿宋_GB2312" w:hAnsi="仿宋_GB2312" w:eastAsia="仿宋_GB2312" w:cs="仿宋_GB2312"/>
          <w:b/>
          <w:color w:val="000000" w:themeColor="text1"/>
          <w:kern w:val="0"/>
          <w:sz w:val="28"/>
          <w:szCs w:val="28"/>
          <w14:textFill>
            <w14:solidFill>
              <w14:schemeClr w14:val="tx1"/>
            </w14:solidFill>
          </w14:textFill>
        </w:rPr>
      </w:pPr>
      <w:bookmarkStart w:id="231" w:name="_Toc63356427"/>
      <w:bookmarkStart w:id="232" w:name="_Toc31165"/>
      <w:bookmarkStart w:id="233" w:name="_Toc6159"/>
      <w:bookmarkStart w:id="234" w:name="_Toc63333023"/>
      <w:bookmarkStart w:id="235" w:name="_Toc26573"/>
      <w:r>
        <w:rPr>
          <w:rFonts w:hint="eastAsia" w:ascii="仿宋_GB2312" w:hAnsi="仿宋_GB2312" w:eastAsia="仿宋_GB2312" w:cs="仿宋_GB2312"/>
          <w:b/>
          <w:color w:val="000000" w:themeColor="text1"/>
          <w:kern w:val="0"/>
          <w:sz w:val="28"/>
          <w:szCs w:val="28"/>
          <w14:textFill>
            <w14:solidFill>
              <w14:schemeClr w14:val="tx1"/>
            </w14:solidFill>
          </w14:textFill>
        </w:rPr>
        <w:t>4.做好退役军人服务保障工作</w:t>
      </w:r>
      <w:bookmarkEnd w:id="231"/>
      <w:bookmarkEnd w:id="232"/>
      <w:bookmarkEnd w:id="233"/>
      <w:bookmarkEnd w:id="234"/>
      <w:bookmarkEnd w:id="235"/>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firstLine="562"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kern w:val="0"/>
          <w:sz w:val="28"/>
          <w:szCs w:val="28"/>
          <w14:textFill>
            <w14:solidFill>
              <w14:schemeClr w14:val="tx1"/>
            </w14:solidFill>
          </w14:textFill>
        </w:rPr>
        <w:t>一是做好</w:t>
      </w:r>
      <w:r>
        <w:rPr>
          <w:rFonts w:hint="eastAsia" w:ascii="仿宋_GB2312" w:hAnsi="仿宋_GB2312" w:eastAsia="仿宋_GB2312" w:cs="仿宋_GB2312"/>
          <w:b/>
          <w:bCs/>
          <w:color w:val="000000" w:themeColor="text1"/>
          <w:sz w:val="28"/>
          <w:szCs w:val="28"/>
          <w14:textFill>
            <w14:solidFill>
              <w14:schemeClr w14:val="tx1"/>
            </w14:solidFill>
          </w14:textFill>
        </w:rPr>
        <w:t>退役军人保障体系建设</w:t>
      </w:r>
      <w:r>
        <w:rPr>
          <w:rFonts w:hint="eastAsia" w:ascii="仿宋_GB2312" w:hAnsi="仿宋_GB2312" w:eastAsia="仿宋_GB2312" w:cs="仿宋_GB2312"/>
          <w:color w:val="000000" w:themeColor="text1"/>
          <w:sz w:val="28"/>
          <w:szCs w:val="28"/>
          <w14:textFill>
            <w14:solidFill>
              <w14:schemeClr w14:val="tx1"/>
            </w14:solidFill>
          </w14:textFill>
        </w:rPr>
        <w:t>。进一步加强退役军人服务中心（站）的建设，引导基层退役军人服务机构开展退役军人常态化管理工作。</w:t>
      </w:r>
      <w:r>
        <w:rPr>
          <w:rFonts w:hint="eastAsia" w:ascii="仿宋_GB2312" w:hAnsi="仿宋_GB2312" w:eastAsia="仿宋_GB2312" w:cs="仿宋_GB2312"/>
          <w:b/>
          <w:bCs/>
          <w:color w:val="000000" w:themeColor="text1"/>
          <w:sz w:val="28"/>
          <w:szCs w:val="28"/>
          <w14:textFill>
            <w14:solidFill>
              <w14:schemeClr w14:val="tx1"/>
            </w14:solidFill>
          </w14:textFill>
        </w:rPr>
        <w:t>二是做好移交安置工作。</w:t>
      </w:r>
      <w:r>
        <w:rPr>
          <w:rFonts w:hint="eastAsia" w:ascii="仿宋_GB2312" w:hAnsi="仿宋_GB2312" w:eastAsia="仿宋_GB2312" w:cs="仿宋_GB2312"/>
          <w:color w:val="000000" w:themeColor="text1"/>
          <w:sz w:val="28"/>
          <w:szCs w:val="28"/>
          <w14:textFill>
            <w14:solidFill>
              <w14:schemeClr w14:val="tx1"/>
            </w14:solidFill>
          </w14:textFill>
        </w:rPr>
        <w:t>继续推行阳光安置政策，公开透明，进一步提升安置质量。</w:t>
      </w:r>
      <w:r>
        <w:rPr>
          <w:rFonts w:hint="eastAsia" w:ascii="仿宋_GB2312" w:hAnsi="仿宋_GB2312" w:eastAsia="仿宋_GB2312" w:cs="仿宋_GB2312"/>
          <w:b/>
          <w:bCs/>
          <w:color w:val="000000" w:themeColor="text1"/>
          <w:sz w:val="28"/>
          <w:szCs w:val="28"/>
          <w14:textFill>
            <w14:solidFill>
              <w14:schemeClr w14:val="tx1"/>
            </w14:solidFill>
          </w14:textFill>
        </w:rPr>
        <w:t>三是做好就业创业工作</w:t>
      </w:r>
      <w:r>
        <w:rPr>
          <w:rFonts w:hint="eastAsia" w:ascii="仿宋_GB2312" w:hAnsi="仿宋_GB2312" w:eastAsia="仿宋_GB2312" w:cs="仿宋_GB2312"/>
          <w:color w:val="000000" w:themeColor="text1"/>
          <w:sz w:val="28"/>
          <w:szCs w:val="28"/>
          <w14:textFill>
            <w14:solidFill>
              <w14:schemeClr w14:val="tx1"/>
            </w14:solidFill>
          </w14:textFill>
        </w:rPr>
        <w:t>。继续推进退役军人就业需求、用人单位岗位需求、社会经济发展趋势等“三本台账”建设。加强退役军人适应性培训、职业技能培训，学历教育等工作，稳定提升退役军人就业竞争力。</w:t>
      </w:r>
      <w:r>
        <w:rPr>
          <w:rFonts w:hint="eastAsia" w:ascii="仿宋_GB2312" w:hAnsi="仿宋_GB2312" w:eastAsia="仿宋_GB2312" w:cs="仿宋_GB2312"/>
          <w:b/>
          <w:bCs/>
          <w:color w:val="000000" w:themeColor="text1"/>
          <w:sz w:val="28"/>
          <w:szCs w:val="28"/>
          <w14:textFill>
            <w14:solidFill>
              <w14:schemeClr w14:val="tx1"/>
            </w14:solidFill>
          </w14:textFill>
        </w:rPr>
        <w:t>四是做好双拥共建工作</w:t>
      </w:r>
      <w:r>
        <w:rPr>
          <w:rFonts w:hint="eastAsia" w:ascii="仿宋_GB2312" w:hAnsi="仿宋_GB2312" w:eastAsia="仿宋_GB2312" w:cs="仿宋_GB2312"/>
          <w:color w:val="000000" w:themeColor="text1"/>
          <w:sz w:val="28"/>
          <w:szCs w:val="28"/>
          <w14:textFill>
            <w14:solidFill>
              <w14:schemeClr w14:val="tx1"/>
            </w14:solidFill>
          </w14:textFill>
        </w:rPr>
        <w:t>。对优抚对象按时足额发放抚恤金、生活补助等资金，帮助重点优抚对象报销医疗费；加强双拥和军地建设，发挥关爱退役军人基金会、爱国拥军联合会以及就业促进会的作用。</w:t>
      </w:r>
      <w:r>
        <w:rPr>
          <w:rFonts w:hint="eastAsia" w:ascii="仿宋_GB2312" w:hAnsi="仿宋_GB2312" w:eastAsia="仿宋_GB2312" w:cs="仿宋_GB2312"/>
          <w:b/>
          <w:bCs/>
          <w:color w:val="000000" w:themeColor="text1"/>
          <w:sz w:val="28"/>
          <w:szCs w:val="28"/>
          <w14:textFill>
            <w14:solidFill>
              <w14:schemeClr w14:val="tx1"/>
            </w14:solidFill>
          </w14:textFill>
        </w:rPr>
        <w:t>五是做好烈士褒扬工作</w:t>
      </w:r>
      <w:r>
        <w:rPr>
          <w:rFonts w:hint="eastAsia" w:ascii="仿宋_GB2312" w:hAnsi="仿宋_GB2312" w:eastAsia="仿宋_GB2312" w:cs="仿宋_GB2312"/>
          <w:color w:val="000000" w:themeColor="text1"/>
          <w:sz w:val="28"/>
          <w:szCs w:val="28"/>
          <w14:textFill>
            <w14:solidFill>
              <w14:schemeClr w14:val="tx1"/>
            </w14:solidFill>
          </w14:textFill>
        </w:rPr>
        <w:t>。对县烈士陵园进行基础设施修缮，提升完善服务功能；在全社会营造缅怀英烈、弘扬英烈精神的浓厚氛围。</w:t>
      </w:r>
      <w:bookmarkStart w:id="236" w:name="_Toc31737"/>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firstLine="560" w:firstLineChars="200"/>
        <w:textAlignment w:val="auto"/>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ascii="楷体_GB2312" w:hAnsi="楷体_GB2312" w:eastAsia="楷体_GB2312" w:cs="楷体_GB2312"/>
          <w:b w:val="0"/>
          <w:bCs/>
          <w:color w:val="000000" w:themeColor="text1"/>
          <w:sz w:val="28"/>
          <w:szCs w:val="28"/>
          <w:lang w:eastAsia="zh-CN"/>
          <w14:textFill>
            <w14:solidFill>
              <w14:schemeClr w14:val="tx1"/>
            </w14:solidFill>
          </w14:textFill>
        </w:rPr>
        <w:t>（五）</w:t>
      </w:r>
      <w:r>
        <w:rPr>
          <w:rFonts w:hint="eastAsia" w:ascii="楷体_GB2312" w:hAnsi="楷体_GB2312" w:eastAsia="楷体_GB2312" w:cs="楷体_GB2312"/>
          <w:b w:val="0"/>
          <w:bCs/>
          <w:color w:val="000000" w:themeColor="text1"/>
          <w:sz w:val="28"/>
          <w:szCs w:val="28"/>
          <w14:textFill>
            <w14:solidFill>
              <w14:schemeClr w14:val="tx1"/>
            </w14:solidFill>
          </w14:textFill>
        </w:rPr>
        <w:t>办好人民满意教育</w:t>
      </w:r>
      <w:bookmarkEnd w:id="236"/>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全面贯彻党的教育方针，围绕“凝聚人心、完善人格、开发人力、培育人才、造福人民”总目标，紧密结合清河经济社会发展需要和教育实际，落实立德树人根本任务，坚持德育为先，五育并举，进一步创新体制机制，健全保障体系，提升发展水平，推进教育事业科学发展。</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1.学前教育普惠发展</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科学制定幼儿园布局规划，优化布局、完善结构。新建改扩建一批公办园。落实《清河县城区住宅区配套幼儿园小学建设管理办法》，切实把普惠性幼儿园建设纳入城乡公共管理和公共服务设施规划，每个</w:t>
      </w:r>
      <w:r>
        <w:rPr>
          <w:rFonts w:hint="eastAsia" w:ascii="仿宋_GB2312" w:hAnsi="仿宋_GB2312" w:eastAsia="仿宋_GB2312" w:cs="仿宋_GB2312"/>
          <w:color w:val="000000" w:themeColor="text1"/>
          <w:sz w:val="28"/>
          <w:szCs w:val="28"/>
          <w:lang w:eastAsia="zh-CN"/>
          <w14:textFill>
            <w14:solidFill>
              <w14:schemeClr w14:val="tx1"/>
            </w14:solidFill>
          </w14:textFill>
        </w:rPr>
        <w:t>镇</w:t>
      </w:r>
      <w:r>
        <w:rPr>
          <w:rFonts w:hint="eastAsia" w:ascii="仿宋_GB2312" w:hAnsi="仿宋_GB2312" w:eastAsia="仿宋_GB2312" w:cs="仿宋_GB2312"/>
          <w:color w:val="000000" w:themeColor="text1"/>
          <w:sz w:val="28"/>
          <w:szCs w:val="28"/>
          <w14:textFill>
            <w14:solidFill>
              <w14:schemeClr w14:val="tx1"/>
            </w14:solidFill>
          </w14:textFill>
        </w:rPr>
        <w:t>原则上至少办好一所公办中心园，大村独立建园或设分园，小村联合办园。</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到2025年，广覆盖、保基本、有质量的学前教育公共服务体系基本建成，学前教育管理体制、办园体制和政策保障体系基本完善。普惠性幼儿园覆盖率（公办园和普惠性民办园在园幼儿占比）达到80%以上，公办园在园幼儿占比达到50%，幼儿学前三年毛入园率达到96%以上。</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2.义务教育优质均衡发展</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十四五”期间，基本形成义务教育优质均衡发展新态势。推进城乡义务教育一体化改革发展，发挥优质学校示范辐射作用，完善强校带弱校、城乡对口支援等办学机制，实行县域内校长和教师定期合理流动，切实缩小城乡、区域、校际之间义务教育发展差距；持续加强城区学校及新建小区住宅区配套学校建设，新建2-3所城区公办小学，新建1所公办初级中学，挖掘中心城区教育资源潜力，补足新增加的义务教育学位缺口，消除大校额大班额；实施农村薄弱学校提升工程。按照优质均衡标准，提升改造中小学校体育场馆，补充更新教学仪器图书设备，加强中小学骨干师资梯队建设，补充中小学体育、艺术（美术、音乐）教师等。</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3.高中教育振兴发展</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扩充普通高中教育资源。</w:t>
      </w:r>
      <w:r>
        <w:rPr>
          <w:rFonts w:hint="eastAsia" w:ascii="仿宋_GB2312" w:hAnsi="仿宋_GB2312" w:eastAsia="仿宋_GB2312" w:cs="仿宋_GB2312"/>
          <w:color w:val="000000" w:themeColor="text1"/>
          <w:sz w:val="28"/>
          <w:szCs w:val="28"/>
          <w14:textFill>
            <w14:solidFill>
              <w14:schemeClr w14:val="tx1"/>
            </w14:solidFill>
          </w14:textFill>
        </w:rPr>
        <w:t>巩固普及高中阶段教育成果，优化高中阶段教育结构，保持普通高中与中等职业学校招生规模大体相当。新建1所省级示范性高中学校，使我县省级示范性高中学校不低于2所。积极支持兴办以艺术、体育等为特色的高中学校，探索综合高中发展模式，为学生发展提供多元选择的机会。抓住京津冀协同发展契机，加强与外地优质高中学校交流合作。</w:t>
      </w:r>
      <w:r>
        <w:rPr>
          <w:rFonts w:hint="eastAsia" w:ascii="仿宋_GB2312" w:hAnsi="仿宋_GB2312" w:eastAsia="仿宋_GB2312" w:cs="仿宋_GB2312"/>
          <w:b/>
          <w:color w:val="000000" w:themeColor="text1"/>
          <w:sz w:val="28"/>
          <w:szCs w:val="28"/>
          <w14:textFill>
            <w14:solidFill>
              <w14:schemeClr w14:val="tx1"/>
            </w14:solidFill>
          </w14:textFill>
        </w:rPr>
        <w:t>提升教育质量。</w:t>
      </w:r>
      <w:r>
        <w:rPr>
          <w:rFonts w:hint="eastAsia" w:ascii="仿宋_GB2312" w:hAnsi="仿宋_GB2312" w:eastAsia="仿宋_GB2312" w:cs="仿宋_GB2312"/>
          <w:color w:val="000000" w:themeColor="text1"/>
          <w:sz w:val="28"/>
          <w:szCs w:val="28"/>
          <w14:textFill>
            <w14:solidFill>
              <w14:schemeClr w14:val="tx1"/>
            </w14:solidFill>
          </w14:textFill>
        </w:rPr>
        <w:t>推进育人方式改革，使学生全面而有个性</w:t>
      </w:r>
      <w:r>
        <w:rPr>
          <w:rFonts w:hint="eastAsia" w:ascii="仿宋_GB2312" w:hAnsi="仿宋_GB2312" w:eastAsia="仿宋_GB2312" w:cs="仿宋_GB2312"/>
          <w:color w:val="000000" w:themeColor="text1"/>
          <w:spacing w:val="-6"/>
          <w:sz w:val="28"/>
          <w:szCs w:val="28"/>
          <w14:textFill>
            <w14:solidFill>
              <w14:schemeClr w14:val="tx1"/>
            </w14:solidFill>
          </w14:textFill>
        </w:rPr>
        <w:t>地发展。主动适应新高考改革，完善选课走班教学管理机制。鼓励学校根据各自特点，形成富有特色的多样化办学模式，满足不同潜质学生发展需要。</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4.职业教育特色发展</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立足服务本地经济产业升级发展、促进劳动力就业、提高劳动力专业水平，促进产教深度融合，加大财政投入，推进校企合作，构建现代职业教育体系。</w:t>
      </w:r>
      <w:r>
        <w:rPr>
          <w:rFonts w:hint="eastAsia" w:ascii="仿宋_GB2312" w:hAnsi="仿宋_GB2312" w:eastAsia="仿宋_GB2312" w:cs="仿宋_GB2312"/>
          <w:b/>
          <w:color w:val="000000" w:themeColor="text1"/>
          <w:sz w:val="28"/>
          <w:szCs w:val="28"/>
          <w14:textFill>
            <w14:solidFill>
              <w14:schemeClr w14:val="tx1"/>
            </w14:solidFill>
          </w14:textFill>
        </w:rPr>
        <w:t>扩大规模。</w:t>
      </w:r>
      <w:r>
        <w:rPr>
          <w:rFonts w:hint="eastAsia" w:ascii="仿宋_GB2312" w:hAnsi="仿宋_GB2312" w:eastAsia="仿宋_GB2312" w:cs="仿宋_GB2312"/>
          <w:color w:val="000000" w:themeColor="text1"/>
          <w:sz w:val="28"/>
          <w:szCs w:val="28"/>
          <w14:textFill>
            <w14:solidFill>
              <w14:schemeClr w14:val="tx1"/>
            </w14:solidFill>
          </w14:textFill>
        </w:rPr>
        <w:t>落实上级要求，适当扩大职业教育规模，优化职业教育资源，完善支持政策，加大财政投入，谋划建设县职教中心宿舍楼、实训综合楼等设施，提升承载力，满足生源迅速增加的需要，到“十四五”末将承载规模标准提升至3000人。</w:t>
      </w:r>
      <w:r>
        <w:rPr>
          <w:rFonts w:hint="eastAsia" w:ascii="仿宋_GB2312" w:hAnsi="仿宋_GB2312" w:eastAsia="仿宋_GB2312" w:cs="仿宋_GB2312"/>
          <w:b/>
          <w:color w:val="000000" w:themeColor="text1"/>
          <w:sz w:val="28"/>
          <w:szCs w:val="28"/>
          <w14:textFill>
            <w14:solidFill>
              <w14:schemeClr w14:val="tx1"/>
            </w14:solidFill>
          </w14:textFill>
        </w:rPr>
        <w:t>优化资源。</w:t>
      </w:r>
      <w:r>
        <w:rPr>
          <w:rFonts w:hint="eastAsia" w:ascii="仿宋_GB2312" w:hAnsi="仿宋_GB2312" w:eastAsia="仿宋_GB2312" w:cs="仿宋_GB2312"/>
          <w:color w:val="000000" w:themeColor="text1"/>
          <w:sz w:val="28"/>
          <w:szCs w:val="28"/>
          <w14:textFill>
            <w14:solidFill>
              <w14:schemeClr w14:val="tx1"/>
            </w14:solidFill>
          </w14:textFill>
        </w:rPr>
        <w:t>优化专业结构，根据县域经济社会发展需要和劳动力市场需求实际，合理调整专业设置，增设跨境电商、新能源汽车维修和维护、电梯安装与维修等专业。</w:t>
      </w:r>
      <w:r>
        <w:rPr>
          <w:rFonts w:hint="eastAsia" w:ascii="仿宋_GB2312" w:hAnsi="仿宋_GB2312" w:eastAsia="仿宋_GB2312" w:cs="仿宋_GB2312"/>
          <w:b/>
          <w:color w:val="000000" w:themeColor="text1"/>
          <w:sz w:val="28"/>
          <w:szCs w:val="28"/>
          <w14:textFill>
            <w14:solidFill>
              <w14:schemeClr w14:val="tx1"/>
            </w14:solidFill>
          </w14:textFill>
        </w:rPr>
        <w:t>强化师资。</w:t>
      </w:r>
      <w:r>
        <w:rPr>
          <w:rFonts w:hint="eastAsia" w:ascii="仿宋_GB2312" w:hAnsi="仿宋_GB2312" w:eastAsia="仿宋_GB2312" w:cs="仿宋_GB2312"/>
          <w:color w:val="000000" w:themeColor="text1"/>
          <w:sz w:val="28"/>
          <w:szCs w:val="28"/>
          <w14:textFill>
            <w14:solidFill>
              <w14:schemeClr w14:val="tx1"/>
            </w14:solidFill>
          </w14:textFill>
        </w:rPr>
        <w:t>加强“双师型”教师队伍建设，招聘中职专业教师；建立教师与企业高技能人才交流制度，鼓励专业课教师参加国家、省级骨干教师培训和下企业锻炼。</w:t>
      </w:r>
      <w:r>
        <w:rPr>
          <w:rFonts w:hint="eastAsia" w:ascii="仿宋_GB2312" w:hAnsi="仿宋_GB2312" w:eastAsia="仿宋_GB2312" w:cs="仿宋_GB2312"/>
          <w:b/>
          <w:color w:val="000000" w:themeColor="text1"/>
          <w:sz w:val="28"/>
          <w:szCs w:val="28"/>
          <w14:textFill>
            <w14:solidFill>
              <w14:schemeClr w14:val="tx1"/>
            </w14:solidFill>
          </w14:textFill>
        </w:rPr>
        <w:t>提高</w:t>
      </w: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层次</w:t>
      </w:r>
      <w:r>
        <w:rPr>
          <w:rFonts w:hint="eastAsia" w:ascii="仿宋_GB2312" w:hAnsi="仿宋_GB2312" w:eastAsia="仿宋_GB2312" w:cs="仿宋_GB2312"/>
          <w:b/>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探索现代职业教育的办学模式，深化校企合作、产教融合；继续探索与高职院校联合办学模式，争取“十四五”期间，以联合办学等方式建成1所高等职业院校。</w:t>
      </w:r>
      <w:bookmarkStart w:id="237" w:name="_Toc20265"/>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firstLine="560" w:firstLineChars="200"/>
        <w:textAlignment w:val="auto"/>
        <w:rPr>
          <w:rFonts w:hint="eastAsia" w:ascii="楷体_GB2312" w:hAnsi="楷体_GB2312" w:eastAsia="楷体_GB2312" w:cs="楷体_GB2312"/>
          <w:b w:val="0"/>
          <w:bCs/>
          <w:color w:val="000000" w:themeColor="text1"/>
          <w:sz w:val="28"/>
          <w:szCs w:val="28"/>
          <w:lang w:eastAsia="zh-CN"/>
          <w14:textFill>
            <w14:solidFill>
              <w14:schemeClr w14:val="tx1"/>
            </w14:solidFill>
          </w14:textFill>
        </w:rPr>
      </w:pP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firstLine="560" w:firstLineChars="200"/>
        <w:textAlignment w:val="auto"/>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ascii="楷体_GB2312" w:hAnsi="楷体_GB2312" w:eastAsia="楷体_GB2312" w:cs="楷体_GB2312"/>
          <w:b w:val="0"/>
          <w:bCs/>
          <w:color w:val="000000" w:themeColor="text1"/>
          <w:sz w:val="28"/>
          <w:szCs w:val="28"/>
          <w:lang w:eastAsia="zh-CN"/>
          <w14:textFill>
            <w14:solidFill>
              <w14:schemeClr w14:val="tx1"/>
            </w14:solidFill>
          </w14:textFill>
        </w:rPr>
        <w:t>（六）</w:t>
      </w:r>
      <w:r>
        <w:rPr>
          <w:rFonts w:hint="eastAsia" w:ascii="楷体_GB2312" w:hAnsi="楷体_GB2312" w:eastAsia="楷体_GB2312" w:cs="楷体_GB2312"/>
          <w:b w:val="0"/>
          <w:bCs/>
          <w:color w:val="000000" w:themeColor="text1"/>
          <w:sz w:val="28"/>
          <w:szCs w:val="28"/>
          <w14:textFill>
            <w14:solidFill>
              <w14:schemeClr w14:val="tx1"/>
            </w14:solidFill>
          </w14:textFill>
        </w:rPr>
        <w:t>持续繁荣文化事业</w:t>
      </w:r>
      <w:bookmarkEnd w:id="237"/>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完善公共文化服务体系。</w:t>
      </w:r>
      <w:r>
        <w:rPr>
          <w:rFonts w:hint="eastAsia" w:ascii="仿宋_GB2312" w:hAnsi="仿宋_GB2312" w:eastAsia="仿宋_GB2312" w:cs="仿宋_GB2312"/>
          <w:bCs/>
          <w:color w:val="000000" w:themeColor="text1"/>
          <w:kern w:val="0"/>
          <w:sz w:val="28"/>
          <w:szCs w:val="28"/>
          <w14:textFill>
            <w14:solidFill>
              <w14:schemeClr w14:val="tx1"/>
            </w14:solidFill>
          </w14:textFill>
        </w:rPr>
        <w:t>按照城乡</w:t>
      </w:r>
      <w:r>
        <w:rPr>
          <w:rFonts w:hint="eastAsia" w:ascii="仿宋_GB2312" w:hAnsi="仿宋_GB2312" w:eastAsia="仿宋_GB2312" w:cs="仿宋_GB2312"/>
          <w:color w:val="000000" w:themeColor="text1"/>
          <w:sz w:val="28"/>
          <w:szCs w:val="28"/>
          <w14:textFill>
            <w14:solidFill>
              <w14:schemeClr w14:val="tx1"/>
            </w14:solidFill>
          </w14:textFill>
        </w:rPr>
        <w:t>统筹、服务均等、共建共享、惠民乐民的思路，从基础设施、文化服务以及体制机制建设等方面入手，推进公共文化设施全覆盖，完善公共文化服务体系。</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kern w:val="0"/>
          <w:sz w:val="28"/>
          <w:szCs w:val="28"/>
          <w:lang w:val="en-US" w:eastAsia="zh-CN"/>
          <w14:textFill>
            <w14:solidFill>
              <w14:schemeClr w14:val="tx1"/>
            </w14:solidFill>
          </w14:textFill>
        </w:rPr>
        <w:t>加强地方文化传承。</w:t>
      </w:r>
      <w:r>
        <w:rPr>
          <w:rFonts w:hint="eastAsia" w:ascii="Times New Roman" w:hAnsi="Times New Roman" w:eastAsia="仿宋_GB2312" w:cs="Times New Roman"/>
          <w:b/>
          <w:color w:val="000000" w:themeColor="text1"/>
          <w:kern w:val="0"/>
          <w:sz w:val="28"/>
          <w:szCs w:val="28"/>
          <w14:textFill>
            <w14:solidFill>
              <w14:schemeClr w14:val="tx1"/>
            </w14:solidFill>
          </w14:textFill>
        </w:rPr>
        <w:t>做好大运河文化挖掘保护</w:t>
      </w:r>
      <w:r>
        <w:rPr>
          <w:rFonts w:hint="eastAsia" w:ascii="Times New Roman" w:hAnsi="Times New Roman" w:eastAsia="仿宋_GB2312" w:cs="Times New Roman"/>
          <w:bCs/>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大力开展大运河清河县段物质文化遗产普查工作，划定各类遗产保护优先序列；依托大运河综合文化长廊项目，谋划建设多层次、全方位文化展示体系。</w:t>
      </w:r>
      <w:r>
        <w:rPr>
          <w:rFonts w:hint="eastAsia" w:ascii="Times New Roman" w:hAnsi="Times New Roman" w:eastAsia="仿宋_GB2312" w:cs="Times New Roman"/>
          <w:b/>
          <w:color w:val="000000" w:themeColor="text1"/>
          <w:kern w:val="0"/>
          <w:sz w:val="28"/>
          <w:szCs w:val="28"/>
          <w14:textFill>
            <w14:solidFill>
              <w14:schemeClr w14:val="tx1"/>
            </w14:solidFill>
          </w14:textFill>
        </w:rPr>
        <w:t>做好非物质文化遗产传承保护。</w:t>
      </w:r>
      <w:r>
        <w:rPr>
          <w:rFonts w:hint="eastAsia" w:ascii="Times New Roman" w:hAnsi="Times New Roman" w:eastAsia="仿宋_GB2312" w:cs="Times New Roman"/>
          <w:bCs/>
          <w:color w:val="000000" w:themeColor="text1"/>
          <w:kern w:val="0"/>
          <w:sz w:val="28"/>
          <w:szCs w:val="28"/>
          <w14:textFill>
            <w14:solidFill>
              <w14:schemeClr w14:val="tx1"/>
            </w14:solidFill>
          </w14:textFill>
        </w:rPr>
        <w:t>建立清河县非物质</w:t>
      </w:r>
      <w:r>
        <w:rPr>
          <w:rFonts w:hint="eastAsia" w:ascii="仿宋_GB2312" w:hAnsi="仿宋_GB2312" w:eastAsia="仿宋_GB2312" w:cs="仿宋_GB2312"/>
          <w:color w:val="000000" w:themeColor="text1"/>
          <w:sz w:val="28"/>
          <w:szCs w:val="28"/>
          <w14:textFill>
            <w14:solidFill>
              <w14:schemeClr w14:val="tx1"/>
            </w14:solidFill>
          </w14:textFill>
        </w:rPr>
        <w:t>文化遗产保护名录、数据库，设立非物质文化遗产传习所和展览展示场所</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推动清河文化元素进社区、进校园、进企业，</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使</w:t>
      </w:r>
      <w:r>
        <w:rPr>
          <w:rFonts w:hint="eastAsia" w:ascii="仿宋_GB2312" w:hAnsi="仿宋_GB2312" w:eastAsia="仿宋_GB2312" w:cs="仿宋_GB2312"/>
          <w:color w:val="000000" w:themeColor="text1"/>
          <w:sz w:val="28"/>
          <w:szCs w:val="28"/>
          <w14:textFill>
            <w14:solidFill>
              <w14:schemeClr w14:val="tx1"/>
            </w14:solidFill>
          </w14:textFill>
        </w:rPr>
        <w:t>运河文化活起来。</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丰富文化活动。</w:t>
      </w:r>
      <w:r>
        <w:rPr>
          <w:rFonts w:hint="eastAsia" w:ascii="仿宋_GB2312" w:hAnsi="仿宋_GB2312" w:eastAsia="仿宋_GB2312" w:cs="仿宋_GB2312"/>
          <w:bCs/>
          <w:color w:val="000000" w:themeColor="text1"/>
          <w:kern w:val="0"/>
          <w:sz w:val="28"/>
          <w:szCs w:val="28"/>
          <w14:textFill>
            <w14:solidFill>
              <w14:schemeClr w14:val="tx1"/>
            </w14:solidFill>
          </w14:textFill>
        </w:rPr>
        <w:t>围绕庆祝建党100周年主题，抓好文艺创作及系列主题活动。巩固省级公共文化服务体系示范区创建成果，充分整合文化资源，创新与丰富文化形式，多层次、全方位、多样化的为群众提供文化活动，持续抓好“一月一剧”公益助演、文化直通车等文化活动，争取举办全市乃至全省范围内的文艺展赛活动，不断丰富群众精神文化生活。</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firstLine="562"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发展县域融媒体。</w:t>
      </w:r>
      <w:r>
        <w:rPr>
          <w:rFonts w:hint="eastAsia" w:ascii="仿宋_GB2312" w:hAnsi="仿宋_GB2312" w:eastAsia="仿宋_GB2312" w:cs="仿宋_GB2312"/>
          <w:color w:val="000000" w:themeColor="text1"/>
          <w:sz w:val="28"/>
          <w:szCs w:val="28"/>
          <w14:textFill>
            <w14:solidFill>
              <w14:schemeClr w14:val="tx1"/>
            </w14:solidFill>
          </w14:textFill>
        </w:rPr>
        <w:t>推进媒体深度融合发展，构建县域全媒体传播体系，增强主流媒体传播力、引导力、影响力、公信力。按照“一次采集、多种生成、多元传播、全面覆盖”的思路，整合县级广播电视、新媒体等资源，搭建传播内容、形式、载体多元化的融合传播体系，开展媒体服务、党建服务、政务服务、公共服务、增值服务等业务的基层融媒体平台。</w:t>
      </w:r>
      <w:bookmarkStart w:id="238" w:name="_Toc259"/>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firstLine="560" w:firstLineChars="200"/>
        <w:textAlignment w:val="auto"/>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ascii="楷体_GB2312" w:hAnsi="楷体_GB2312" w:eastAsia="楷体_GB2312" w:cs="楷体_GB2312"/>
          <w:b w:val="0"/>
          <w:bCs/>
          <w:color w:val="000000" w:themeColor="text1"/>
          <w:sz w:val="28"/>
          <w:szCs w:val="28"/>
          <w:lang w:eastAsia="zh-CN"/>
          <w14:textFill>
            <w14:solidFill>
              <w14:schemeClr w14:val="tx1"/>
            </w14:solidFill>
          </w14:textFill>
        </w:rPr>
        <w:t>（七）</w:t>
      </w:r>
      <w:r>
        <w:rPr>
          <w:rFonts w:hint="eastAsia" w:ascii="楷体_GB2312" w:hAnsi="楷体_GB2312" w:eastAsia="楷体_GB2312" w:cs="楷体_GB2312"/>
          <w:b w:val="0"/>
          <w:bCs/>
          <w:color w:val="000000" w:themeColor="text1"/>
          <w:sz w:val="28"/>
          <w:szCs w:val="28"/>
          <w14:textFill>
            <w14:solidFill>
              <w14:schemeClr w14:val="tx1"/>
            </w14:solidFill>
          </w14:textFill>
        </w:rPr>
        <w:t>加快健康清河建设</w:t>
      </w:r>
      <w:bookmarkEnd w:id="238"/>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把人民健康放在优先发展的战略位置，深入实施健康清河行动，全方位全周期保障人民健康</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将清河县打造冀东南区域医疗中心和康养高地。到“十四五”末，每千人口执业（助理）医师数≥3人，每千人口注册护士数≥3.4人，每万人口全科医生数2-3人。全县人均预期寿命&gt;78.5岁，居民健康素养水平达到30%，心脑血管疾病等慢性病过早死亡率比2020年降低8%。</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1.优化健康环境</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以健康中国行动为指引，发挥爱国卫生运</w:t>
      </w:r>
      <w:r>
        <w:rPr>
          <w:rFonts w:hint="eastAsia" w:ascii="仿宋_GB2312" w:hAnsi="仿宋_GB2312" w:eastAsia="仿宋_GB2312" w:cs="仿宋_GB2312"/>
          <w:color w:val="000000" w:themeColor="text1"/>
          <w:sz w:val="28"/>
          <w:szCs w:val="28"/>
          <w14:textFill>
            <w14:solidFill>
              <w14:schemeClr w14:val="tx1"/>
            </w14:solidFill>
          </w14:textFill>
        </w:rPr>
        <w:t>动的组织优势，全社会动员，把健康融入城乡规划建设和治理的全过程，建立人居环境与健康风险评估制度，全面优化健康环境，提升全人群健康水平。一要开展健康家庭、健康乡村、健康机关、健康企业、健康学校等“健康细胞”创建工作；二要针对重大疾病和一些突出问题，聚焦重点人群，实施15个健康行动，建立健全健康教育体系；三要全面整合资源，成立健康清河建设指导中心，打造清河健康云，开展全人群系统健康管理。尤其要加强慢性病管理，打造具有清河特色的慢</w:t>
      </w:r>
      <w:r>
        <w:rPr>
          <w:rFonts w:hint="eastAsia" w:ascii="仿宋_GB2312" w:hAnsi="仿宋_GB2312" w:eastAsia="仿宋_GB2312" w:cs="仿宋_GB2312"/>
          <w:bCs/>
          <w:color w:val="000000" w:themeColor="text1"/>
          <w:kern w:val="0"/>
          <w:sz w:val="28"/>
          <w:szCs w:val="28"/>
          <w14:textFill>
            <w14:solidFill>
              <w14:schemeClr w14:val="tx1"/>
            </w14:solidFill>
          </w14:textFill>
        </w:rPr>
        <w:t>性病管理模式，争创国家慢性病综合防控示范区。</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2.构建县乡村三级协同卫生体系</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科学确定县、乡、村三级医疗机构的功能定位，实施全</w:t>
      </w:r>
      <w:r>
        <w:rPr>
          <w:rFonts w:hint="eastAsia" w:ascii="仿宋_GB2312" w:hAnsi="仿宋_GB2312" w:eastAsia="仿宋_GB2312" w:cs="仿宋_GB2312"/>
          <w:color w:val="000000" w:themeColor="text1"/>
          <w:sz w:val="28"/>
          <w:szCs w:val="28"/>
          <w14:textFill>
            <w14:solidFill>
              <w14:schemeClr w14:val="tx1"/>
            </w14:solidFill>
          </w14:textFill>
        </w:rPr>
        <w:t>面错位发展，初步实现“小病不出村、首诊卫生院、大病不出县”的就医格局，确保县域就诊率达到90%以上。一要厘清三家县级医院功能定位，实施错位发展，统筹做强县级医院。二要全面做活</w:t>
      </w:r>
      <w:r>
        <w:rPr>
          <w:rFonts w:hint="eastAsia" w:ascii="仿宋_GB2312" w:hAnsi="仿宋_GB2312" w:eastAsia="仿宋_GB2312" w:cs="仿宋_GB2312"/>
          <w:color w:val="000000" w:themeColor="text1"/>
          <w:sz w:val="28"/>
          <w:szCs w:val="28"/>
          <w:lang w:eastAsia="zh-CN"/>
          <w14:textFill>
            <w14:solidFill>
              <w14:schemeClr w14:val="tx1"/>
            </w14:solidFill>
          </w14:textFill>
        </w:rPr>
        <w:t>镇</w:t>
      </w:r>
      <w:r>
        <w:rPr>
          <w:rFonts w:hint="eastAsia" w:ascii="仿宋_GB2312" w:hAnsi="仿宋_GB2312" w:eastAsia="仿宋_GB2312" w:cs="仿宋_GB2312"/>
          <w:color w:val="000000" w:themeColor="text1"/>
          <w:sz w:val="28"/>
          <w:szCs w:val="28"/>
          <w14:textFill>
            <w14:solidFill>
              <w14:schemeClr w14:val="tx1"/>
            </w14:solidFill>
          </w14:textFill>
        </w:rPr>
        <w:t>卫生院，不断壮大整体实力，充分发挥分级诊疗“承上启下”枢纽作用。三要以乡村卫生健康一</w:t>
      </w:r>
      <w:r>
        <w:rPr>
          <w:rFonts w:hint="eastAsia" w:ascii="仿宋_GB2312" w:hAnsi="仿宋_GB2312" w:eastAsia="仿宋_GB2312" w:cs="仿宋_GB2312"/>
          <w:bCs/>
          <w:color w:val="000000" w:themeColor="text1"/>
          <w:kern w:val="0"/>
          <w:sz w:val="28"/>
          <w:szCs w:val="28"/>
          <w14:textFill>
            <w14:solidFill>
              <w14:schemeClr w14:val="tx1"/>
            </w14:solidFill>
          </w14:textFill>
        </w:rPr>
        <w:t>体化管理为载体，做稳村卫生室，实施镇村一体，协同发展，发挥好基层医疗机构“健康守门人”作用。</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3.</w:t>
      </w:r>
      <w:r>
        <w:rPr>
          <w:rFonts w:hint="eastAsia" w:ascii="仿宋_GB2312" w:hAnsi="仿宋_GB2312" w:eastAsia="仿宋_GB2312" w:cs="仿宋_GB2312"/>
          <w:b/>
          <w:color w:val="000000" w:themeColor="text1"/>
          <w:kern w:val="0"/>
          <w:sz w:val="28"/>
          <w:szCs w:val="28"/>
          <w:lang w:val="en-US" w:eastAsia="zh-CN"/>
          <w14:textFill>
            <w14:solidFill>
              <w14:schemeClr w14:val="tx1"/>
            </w14:solidFill>
          </w14:textFill>
        </w:rPr>
        <w:t>完善</w:t>
      </w:r>
      <w:r>
        <w:rPr>
          <w:rFonts w:hint="eastAsia" w:ascii="仿宋_GB2312" w:hAnsi="仿宋_GB2312" w:eastAsia="仿宋_GB2312" w:cs="仿宋_GB2312"/>
          <w:b/>
          <w:color w:val="000000" w:themeColor="text1"/>
          <w:kern w:val="0"/>
          <w:sz w:val="28"/>
          <w:szCs w:val="28"/>
          <w14:textFill>
            <w14:solidFill>
              <w14:schemeClr w14:val="tx1"/>
            </w14:solidFill>
          </w14:textFill>
        </w:rPr>
        <w:t>县域分级诊疗模式</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以常见病、多发病、慢性病分级诊疗为突破口，不断完善服务网络，创新运行机制和激励机制，引导县级优质医疗资源下沉，推动“小病就医在基层、大病就医进医院、康复治疗回基层”就医新格局的形成，逐步建立符合我县实际的分级诊疗制度。一要明确基层医疗机构、县级医疗机构、专业公共卫生服务机构的基本诊疗范围和主要服务对象。二要确定分级诊疗病种范围，尝试在县级医疗机构推行以按病种付费为主的医保支付方式。三要建立符合自身实际的可追踪、可调控、可监管的双向转诊程序，按照就近、就能力、就需求的转诊原则，畅通双向转诊渠道。</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4.推进中医药传承创新发展</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加强中医药服务体系建设，健全完善以公立医疗服务为主、社会办中医药服务为补充，覆盖县镇村的中医医疗服务体系。强化县中医院建设，完成县中医院整体能力提升工程项目，强化以中医药服务为主的办院模式和服务功能，“十四五”期间，力争县中医院整体实力跻身全省前列，服务能力达到三级水平。夯实基层中医药服务基础，实行中医药人员“县管乡用”，招聘能中会西的大学生村医到村卫生室工作，纳入乡（镇）卫生院聘用管理。</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5.提升公共卫生事件处置能力</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十四五”期间，要立足强弱项，补短板，全面加大投入，健全应急处置机制、疾病预防控制、卫生监督、妇幼保健、精神卫生、应急救治、基层卫生等7大体系，基本建成布局合理、功能完善、反应灵敏、高效运转的多元化的公共卫生体系，重点抓好清河县基层公共卫生医疗设施提升项目、清河县智慧医疗公共卫生服务平台建设项目、清河县人民医院传染病区项目，实施医疗废弃物集中收集处理工程。有效提升我县公共卫生服务和突发公共卫生事件应急处置能力。</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40" w:lineRule="exact"/>
        <w:ind w:firstLine="562" w:firstLineChars="200"/>
        <w:textAlignment w:val="auto"/>
        <w:rPr>
          <w:rFonts w:hint="default" w:ascii="仿宋_GB2312" w:hAnsi="仿宋_GB2312" w:eastAsia="仿宋_GB2312" w:cs="仿宋_GB2312"/>
          <w:b/>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6.</w:t>
      </w:r>
      <w:r>
        <w:rPr>
          <w:rFonts w:hint="eastAsia" w:ascii="仿宋_GB2312" w:hAnsi="仿宋_GB2312" w:eastAsia="仿宋_GB2312" w:cs="仿宋_GB2312"/>
          <w:b/>
          <w:color w:val="000000" w:themeColor="text1"/>
          <w:kern w:val="0"/>
          <w:sz w:val="28"/>
          <w:szCs w:val="28"/>
          <w:lang w:val="en-US" w:eastAsia="zh-CN"/>
          <w14:textFill>
            <w14:solidFill>
              <w14:schemeClr w14:val="tx1"/>
            </w14:solidFill>
          </w14:textFill>
        </w:rPr>
        <w:t>促进</w:t>
      </w:r>
      <w:r>
        <w:rPr>
          <w:rFonts w:hint="eastAsia" w:ascii="仿宋_GB2312" w:hAnsi="仿宋_GB2312" w:eastAsia="仿宋_GB2312" w:cs="仿宋_GB2312"/>
          <w:b/>
          <w:color w:val="000000" w:themeColor="text1"/>
          <w:kern w:val="0"/>
          <w:sz w:val="28"/>
          <w:szCs w:val="28"/>
          <w14:textFill>
            <w14:solidFill>
              <w14:schemeClr w14:val="tx1"/>
            </w14:solidFill>
          </w14:textFill>
        </w:rPr>
        <w:t>体育事业</w:t>
      </w:r>
      <w:r>
        <w:rPr>
          <w:rFonts w:hint="eastAsia" w:ascii="仿宋_GB2312" w:hAnsi="仿宋_GB2312" w:eastAsia="仿宋_GB2312" w:cs="仿宋_GB2312"/>
          <w:b/>
          <w:color w:val="000000" w:themeColor="text1"/>
          <w:kern w:val="0"/>
          <w:sz w:val="28"/>
          <w:szCs w:val="28"/>
          <w:lang w:val="en-US" w:eastAsia="zh-CN"/>
          <w14:textFill>
            <w14:solidFill>
              <w14:schemeClr w14:val="tx1"/>
            </w14:solidFill>
          </w14:textFill>
        </w:rPr>
        <w:t>全面发展</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落实《国务院办公厅关于加强全民健身场地设施建设发展群众体育的意见》，增加健身设施有效供给，补齐群众身边的健身设施短板，建设县级体育场、体育馆、全民健身中心、游泳馆、社区多功能运动场和一批便民利民的中小型体育场馆</w:t>
      </w:r>
      <w:r>
        <w:rPr>
          <w:rFonts w:hint="eastAsia" w:ascii="仿宋_GB2312" w:hAnsi="仿宋_GB2312" w:eastAsia="仿宋_GB2312" w:cs="仿宋_GB2312"/>
          <w:b/>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充分利用好现有冰雪运动场地、设施设备，引导社会力量进入冰雪运动领域，推进冰雪运动进景区、进社区、进学校，扶持轮滑、滑冰、冰球、冰壶等具有一定群众基础的冰雪健身休闲项目，全力推进冰雪运动项目发展。</w:t>
      </w:r>
      <w:bookmarkStart w:id="239" w:name="_Toc12451"/>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40" w:lineRule="exact"/>
        <w:ind w:firstLine="560" w:firstLineChars="200"/>
        <w:textAlignment w:val="auto"/>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ascii="楷体_GB2312" w:hAnsi="楷体_GB2312" w:eastAsia="楷体_GB2312" w:cs="楷体_GB2312"/>
          <w:b w:val="0"/>
          <w:bCs/>
          <w:color w:val="000000" w:themeColor="text1"/>
          <w:sz w:val="28"/>
          <w:szCs w:val="28"/>
          <w:lang w:eastAsia="zh-CN"/>
          <w14:textFill>
            <w14:solidFill>
              <w14:schemeClr w14:val="tx1"/>
            </w14:solidFill>
          </w14:textFill>
        </w:rPr>
        <w:t>（八）</w:t>
      </w:r>
      <w:r>
        <w:rPr>
          <w:rFonts w:hint="eastAsia" w:ascii="楷体_GB2312" w:hAnsi="楷体_GB2312" w:eastAsia="楷体_GB2312" w:cs="楷体_GB2312"/>
          <w:b w:val="0"/>
          <w:bCs/>
          <w:color w:val="000000" w:themeColor="text1"/>
          <w:sz w:val="28"/>
          <w:szCs w:val="28"/>
          <w14:textFill>
            <w14:solidFill>
              <w14:schemeClr w14:val="tx1"/>
            </w14:solidFill>
          </w14:textFill>
        </w:rPr>
        <w:t>提升“一老一小”保障能力</w:t>
      </w:r>
      <w:bookmarkEnd w:id="239"/>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40" w:lineRule="exact"/>
        <w:ind w:firstLine="562"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积极应对人口老龄化</w:t>
      </w:r>
      <w:bookmarkStart w:id="240" w:name="_Toc14774"/>
      <w:bookmarkStart w:id="241" w:name="_Toc31399"/>
      <w:r>
        <w:rPr>
          <w:rFonts w:hint="eastAsia" w:ascii="仿宋_GB2312" w:hAnsi="仿宋_GB2312" w:eastAsia="仿宋_GB2312" w:cs="仿宋_GB2312"/>
          <w:b/>
          <w:bCs/>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推动养老事业和养老产业协同发展，健全基本养老服务体系，发展普惠型养老服务和互助性养老，支持家庭承担养老功能，培育养老新业态，构建居家社区机构相协调、医养康养相结合的养老服务体系，编制养老服务专项规划，健全养老服务综合监管制度。支持和鼓励社会力量兴建养老机构，增强公办养老机构服务能力，探索公办养老机构改革，切实满足老年人需求。鼓励民间等多元化投资，持续加大对公益养老服务设施建设投入。实施</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城乡</w:t>
      </w:r>
      <w:r>
        <w:rPr>
          <w:rFonts w:hint="eastAsia" w:ascii="仿宋_GB2312" w:hAnsi="仿宋_GB2312" w:eastAsia="仿宋_GB2312" w:cs="仿宋_GB2312"/>
          <w:color w:val="000000" w:themeColor="text1"/>
          <w:sz w:val="28"/>
          <w:szCs w:val="28"/>
          <w14:textFill>
            <w14:solidFill>
              <w14:schemeClr w14:val="tx1"/>
            </w14:solidFill>
          </w14:textFill>
        </w:rPr>
        <w:t>养老服务中心提升工程，健全完善社区居家养老服务网络，建立多元化养老服务平台，全面提升社区养老服务水平</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完成2家社区日间照料中心建设任务，强化社区日间照料中心服务功能，逐步形成专兼结合的养老服务队伍，为全县老年人提供一流服务。</w:t>
      </w:r>
      <w:bookmarkStart w:id="242" w:name="_Toc23840"/>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40" w:lineRule="exact"/>
        <w:ind w:firstLine="562"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着力发展托育服务。</w:t>
      </w:r>
      <w:r>
        <w:rPr>
          <w:rFonts w:hint="eastAsia" w:ascii="仿宋_GB2312" w:hAnsi="仿宋_GB2312" w:eastAsia="仿宋_GB2312" w:cs="仿宋_GB2312"/>
          <w:color w:val="000000" w:themeColor="text1"/>
          <w:sz w:val="28"/>
          <w:szCs w:val="28"/>
          <w14:textFill>
            <w14:solidFill>
              <w14:schemeClr w14:val="tx1"/>
            </w14:solidFill>
          </w14:textFill>
        </w:rPr>
        <w:t>认真落实国务院关于促进养老托育服务健康发展的意见，积极探索开展形式多样、规模适度的托育服务，鼓励引导社会力量开设以“品牌连锁服务”“幼儿园设立托班”和“单位福利性服务”为试点的婴幼儿照护服务机构，向3岁以下婴幼儿及家庭提供全日托、半日托、计时托、临时托等多样的、多层次的、优质的托育服务，确保婴幼有人照看、有园可托。</w:t>
      </w:r>
      <w:bookmarkStart w:id="243" w:name="_Toc15335"/>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firstLine="560" w:firstLineChars="200"/>
        <w:textAlignment w:val="auto"/>
        <w:rPr>
          <w:rFonts w:ascii="仿宋_GB2312" w:hAnsi="Times New Roman" w:eastAsia="仿宋_GB2312" w:cs="宋体"/>
          <w:b w:val="0"/>
          <w:bCs/>
          <w:color w:val="000000" w:themeColor="text1"/>
          <w:kern w:val="0"/>
          <w:sz w:val="28"/>
          <w:szCs w:val="28"/>
          <w14:textFill>
            <w14:solidFill>
              <w14:schemeClr w14:val="tx1"/>
            </w14:solidFill>
          </w14:textFill>
        </w:rPr>
      </w:pPr>
      <w:r>
        <w:rPr>
          <w:rFonts w:hint="eastAsia" w:ascii="楷体_GB2312" w:hAnsi="楷体_GB2312" w:eastAsia="楷体_GB2312" w:cs="楷体_GB2312"/>
          <w:b w:val="0"/>
          <w:bCs/>
          <w:color w:val="000000" w:themeColor="text1"/>
          <w:sz w:val="28"/>
          <w:szCs w:val="28"/>
          <w:lang w:eastAsia="zh-CN"/>
          <w14:textFill>
            <w14:solidFill>
              <w14:schemeClr w14:val="tx1"/>
            </w14:solidFill>
          </w14:textFill>
        </w:rPr>
        <w:t>（九）</w:t>
      </w:r>
      <w:r>
        <w:rPr>
          <w:rFonts w:hint="eastAsia" w:ascii="楷体_GB2312" w:hAnsi="楷体_GB2312" w:eastAsia="楷体_GB2312" w:cs="楷体_GB2312"/>
          <w:b w:val="0"/>
          <w:bCs/>
          <w:color w:val="000000" w:themeColor="text1"/>
          <w:sz w:val="28"/>
          <w:szCs w:val="28"/>
          <w14:textFill>
            <w14:solidFill>
              <w14:schemeClr w14:val="tx1"/>
            </w14:solidFill>
          </w14:textFill>
        </w:rPr>
        <w:t>统筹其它各项事业发展</w:t>
      </w:r>
      <w:bookmarkEnd w:id="242"/>
      <w:bookmarkEnd w:id="243"/>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firstLine="560" w:firstLineChars="200"/>
        <w:textAlignment w:val="auto"/>
        <w:rPr>
          <w:rFonts w:ascii="仿宋_GB2312" w:hAnsi="仿宋" w:eastAsia="仿宋_GB2312" w:cs="宋体"/>
          <w:color w:val="000000" w:themeColor="text1"/>
          <w:kern w:val="0"/>
          <w:sz w:val="28"/>
          <w:szCs w:val="28"/>
          <w14:textFill>
            <w14:solidFill>
              <w14:schemeClr w14:val="tx1"/>
            </w14:solidFill>
          </w14:textFill>
        </w:rPr>
      </w:pPr>
      <w:r>
        <w:rPr>
          <w:rFonts w:hint="eastAsia" w:ascii="仿宋_GB2312" w:hAnsi="仿宋" w:eastAsia="仿宋_GB2312" w:cs="宋体"/>
          <w:color w:val="000000" w:themeColor="text1"/>
          <w:kern w:val="0"/>
          <w:sz w:val="28"/>
          <w:szCs w:val="28"/>
          <w14:textFill>
            <w14:solidFill>
              <w14:schemeClr w14:val="tx1"/>
            </w14:solidFill>
          </w14:textFill>
        </w:rPr>
        <w:t>坚持各项社会事业协调均衡发展，加强弱势群体保护，促进青少年</w:t>
      </w:r>
      <w:r>
        <w:rPr>
          <w:rFonts w:hint="eastAsia" w:ascii="仿宋_GB2312" w:hAnsi="仿宋_GB2312" w:eastAsia="仿宋_GB2312" w:cs="仿宋_GB2312"/>
          <w:color w:val="000000" w:themeColor="text1"/>
          <w:sz w:val="28"/>
          <w:szCs w:val="28"/>
          <w14:textFill>
            <w14:solidFill>
              <w14:schemeClr w14:val="tx1"/>
            </w14:solidFill>
          </w14:textFill>
        </w:rPr>
        <w:t>发展</w:t>
      </w:r>
      <w:r>
        <w:rPr>
          <w:rFonts w:hint="eastAsia" w:ascii="仿宋_GB2312" w:hAnsi="仿宋" w:eastAsia="仿宋_GB2312" w:cs="宋体"/>
          <w:color w:val="000000" w:themeColor="text1"/>
          <w:kern w:val="0"/>
          <w:sz w:val="28"/>
          <w:szCs w:val="28"/>
          <w14:textFill>
            <w14:solidFill>
              <w14:schemeClr w14:val="tx1"/>
            </w14:solidFill>
          </w14:textFill>
        </w:rPr>
        <w:t>，推动妇女儿童、青少年、残疾人、红十字等事业健康发展。</w:t>
      </w:r>
      <w:bookmarkStart w:id="244" w:name="_Toc7426"/>
      <w:r>
        <w:rPr>
          <w:rFonts w:hint="eastAsia" w:ascii="仿宋_GB2312" w:hAnsi="仿宋" w:eastAsia="仿宋_GB2312" w:cs="宋体"/>
          <w:b/>
          <w:bCs/>
          <w:color w:val="000000" w:themeColor="text1"/>
          <w:kern w:val="0"/>
          <w:sz w:val="28"/>
          <w:szCs w:val="28"/>
          <w14:textFill>
            <w14:solidFill>
              <w14:schemeClr w14:val="tx1"/>
            </w14:solidFill>
          </w14:textFill>
        </w:rPr>
        <w:t>切实保障妇女儿童合法权益</w:t>
      </w:r>
      <w:bookmarkEnd w:id="244"/>
      <w:r>
        <w:rPr>
          <w:rFonts w:hint="eastAsia" w:ascii="仿宋_GB2312" w:hAnsi="仿宋" w:eastAsia="仿宋_GB2312" w:cs="宋体"/>
          <w:b/>
          <w:bCs/>
          <w:color w:val="000000" w:themeColor="text1"/>
          <w:kern w:val="0"/>
          <w:sz w:val="28"/>
          <w:szCs w:val="28"/>
          <w14:textFill>
            <w14:solidFill>
              <w14:schemeClr w14:val="tx1"/>
            </w14:solidFill>
          </w14:textFill>
        </w:rPr>
        <w:t>。</w:t>
      </w:r>
      <w:r>
        <w:rPr>
          <w:rFonts w:hint="eastAsia" w:ascii="仿宋_GB2312" w:hAnsi="仿宋" w:eastAsia="仿宋_GB2312" w:cs="宋体"/>
          <w:color w:val="000000" w:themeColor="text1"/>
          <w:kern w:val="0"/>
          <w:sz w:val="28"/>
          <w:szCs w:val="28"/>
          <w14:textFill>
            <w14:solidFill>
              <w14:schemeClr w14:val="tx1"/>
            </w14:solidFill>
          </w14:textFill>
        </w:rPr>
        <w:t>保障妇女儿童合法权益，优化妇女发展环境，提高妇女社会地位，推动妇女平等依法行使民主权利，平等参与经济社会发展，平等享有改革发展成果。建立健全困境儿童关爱救助保障机制，进一步完善儿童工作机制，推进城乡儿童事业平衡发展，明显改善儿童生存、保护、发展的环境和条件。</w:t>
      </w:r>
      <w:bookmarkStart w:id="245" w:name="_Toc8249"/>
      <w:r>
        <w:rPr>
          <w:rFonts w:hint="eastAsia" w:ascii="仿宋_GB2312" w:hAnsi="仿宋" w:eastAsia="仿宋_GB2312" w:cs="宋体"/>
          <w:b/>
          <w:bCs/>
          <w:color w:val="000000" w:themeColor="text1"/>
          <w:kern w:val="0"/>
          <w:sz w:val="28"/>
          <w:szCs w:val="28"/>
          <w14:textFill>
            <w14:solidFill>
              <w14:schemeClr w14:val="tx1"/>
            </w14:solidFill>
          </w14:textFill>
        </w:rPr>
        <w:t>大力发展青少年事业</w:t>
      </w:r>
      <w:bookmarkEnd w:id="245"/>
      <w:r>
        <w:rPr>
          <w:rFonts w:hint="eastAsia" w:ascii="仿宋_GB2312" w:hAnsi="仿宋" w:eastAsia="仿宋_GB2312" w:cs="宋体"/>
          <w:b/>
          <w:bCs/>
          <w:color w:val="000000" w:themeColor="text1"/>
          <w:kern w:val="0"/>
          <w:sz w:val="28"/>
          <w:szCs w:val="28"/>
          <w14:textFill>
            <w14:solidFill>
              <w14:schemeClr w14:val="tx1"/>
            </w14:solidFill>
          </w14:textFill>
        </w:rPr>
        <w:t>。</w:t>
      </w:r>
      <w:r>
        <w:rPr>
          <w:rFonts w:hint="eastAsia" w:ascii="仿宋_GB2312" w:hAnsi="仿宋" w:eastAsia="仿宋_GB2312" w:cs="宋体"/>
          <w:color w:val="000000" w:themeColor="text1"/>
          <w:kern w:val="0"/>
          <w:sz w:val="28"/>
          <w:szCs w:val="28"/>
          <w14:textFill>
            <w14:solidFill>
              <w14:schemeClr w14:val="tx1"/>
            </w14:solidFill>
          </w14:textFill>
        </w:rPr>
        <w:t>践行党管青年原则，坚持青年优先发展，为党培养和输送青年政治骨干。加强青年毕业求职、就业创业、婚恋交友及心理健康教育和服务。建立健全青少年权益保护体制，构建政府、学校、家庭、社会协同参与的青少年维权体系。</w:t>
      </w:r>
      <w:bookmarkStart w:id="246" w:name="_Toc25262"/>
      <w:r>
        <w:rPr>
          <w:rFonts w:hint="eastAsia" w:ascii="仿宋_GB2312" w:hAnsi="仿宋" w:eastAsia="仿宋_GB2312" w:cs="宋体"/>
          <w:b/>
          <w:bCs/>
          <w:color w:val="000000" w:themeColor="text1"/>
          <w:kern w:val="0"/>
          <w:sz w:val="28"/>
          <w:szCs w:val="28"/>
          <w14:textFill>
            <w14:solidFill>
              <w14:schemeClr w14:val="tx1"/>
            </w14:solidFill>
          </w14:textFill>
        </w:rPr>
        <w:t>加快残疾人事业发展</w:t>
      </w:r>
      <w:bookmarkEnd w:id="246"/>
      <w:r>
        <w:rPr>
          <w:rFonts w:hint="eastAsia" w:ascii="仿宋_GB2312" w:hAnsi="仿宋" w:eastAsia="仿宋_GB2312" w:cs="宋体"/>
          <w:b/>
          <w:bCs/>
          <w:color w:val="000000" w:themeColor="text1"/>
          <w:kern w:val="0"/>
          <w:sz w:val="28"/>
          <w:szCs w:val="28"/>
          <w14:textFill>
            <w14:solidFill>
              <w14:schemeClr w14:val="tx1"/>
            </w14:solidFill>
          </w14:textFill>
        </w:rPr>
        <w:t>。</w:t>
      </w:r>
      <w:r>
        <w:rPr>
          <w:rFonts w:hint="eastAsia" w:ascii="仿宋_GB2312" w:hAnsi="仿宋" w:eastAsia="仿宋_GB2312" w:cs="宋体"/>
          <w:color w:val="000000" w:themeColor="text1"/>
          <w:kern w:val="0"/>
          <w:sz w:val="28"/>
          <w:szCs w:val="28"/>
          <w14:textFill>
            <w14:solidFill>
              <w14:schemeClr w14:val="tx1"/>
            </w14:solidFill>
          </w14:textFill>
        </w:rPr>
        <w:t>完善残疾人帮扶制度和服务体系，促进残疾人充分参与和社会融合，建立稳定增长的残疾人事业多元投入格局，推动残疾人事业高质量发展。</w:t>
      </w:r>
      <w:bookmarkStart w:id="247" w:name="_Toc8659"/>
    </w:p>
    <w:p>
      <w:pPr>
        <w:keepNext w:val="0"/>
        <w:keepLines w:val="0"/>
        <w:pageBreakBefore w:val="0"/>
        <w:widowControl w:val="0"/>
        <w:numPr>
          <w:ilvl w:val="0"/>
          <w:numId w:val="6"/>
        </w:numPr>
        <w:pBdr>
          <w:bottom w:val="single" w:color="FFFFFF" w:sz="4" w:space="31"/>
        </w:pBdr>
        <w:kinsoku/>
        <w:wordWrap/>
        <w:overflowPunct/>
        <w:topLinePunct w:val="0"/>
        <w:autoSpaceDE/>
        <w:autoSpaceDN/>
        <w:bidi w:val="0"/>
        <w:adjustRightInd w:val="0"/>
        <w:snapToGrid w:val="0"/>
        <w:spacing w:line="560" w:lineRule="exact"/>
        <w:ind w:firstLine="560" w:firstLineChars="200"/>
        <w:textAlignment w:val="auto"/>
        <w:outlineLvl w:val="1"/>
        <w:rPr>
          <w:rStyle w:val="32"/>
          <w:rFonts w:ascii="黑体" w:hAnsi="黑体" w:eastAsia="黑体"/>
          <w:b w:val="0"/>
          <w:bCs w:val="0"/>
          <w:color w:val="000000" w:themeColor="text1"/>
          <w:sz w:val="28"/>
          <w:szCs w:val="28"/>
          <w14:textFill>
            <w14:solidFill>
              <w14:schemeClr w14:val="tx1"/>
            </w14:solidFill>
          </w14:textFill>
        </w:rPr>
      </w:pPr>
      <w:bookmarkStart w:id="248" w:name="_Toc20126"/>
      <w:r>
        <w:rPr>
          <w:rStyle w:val="32"/>
          <w:rFonts w:hint="eastAsia" w:ascii="黑体" w:hAnsi="黑体" w:eastAsia="黑体"/>
          <w:b w:val="0"/>
          <w:bCs w:val="0"/>
          <w:color w:val="000000" w:themeColor="text1"/>
          <w:sz w:val="28"/>
          <w:szCs w:val="28"/>
          <w14:textFill>
            <w14:solidFill>
              <w14:schemeClr w14:val="tx1"/>
            </w14:solidFill>
          </w14:textFill>
        </w:rPr>
        <w:t>强化社会治理，筑牢高质量赶超发展护城河</w:t>
      </w:r>
      <w:bookmarkEnd w:id="240"/>
      <w:bookmarkEnd w:id="241"/>
      <w:bookmarkEnd w:id="247"/>
      <w:bookmarkEnd w:id="248"/>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firstLine="560" w:firstLineChars="200"/>
        <w:textAlignment w:val="auto"/>
        <w:outlineLvl w:val="2"/>
        <w:rPr>
          <w:rFonts w:ascii="楷体_GB2312" w:hAnsi="楷体_GB2312" w:eastAsia="楷体_GB2312" w:cs="楷体_GB2312"/>
          <w:b w:val="0"/>
          <w:bCs w:val="0"/>
          <w:color w:val="000000" w:themeColor="text1"/>
          <w:sz w:val="28"/>
          <w:szCs w:val="28"/>
          <w14:textFill>
            <w14:solidFill>
              <w14:schemeClr w14:val="tx1"/>
            </w14:solidFill>
          </w14:textFill>
        </w:rPr>
      </w:pPr>
      <w:bookmarkStart w:id="249" w:name="_Toc12317"/>
      <w:r>
        <w:rPr>
          <w:rFonts w:hint="eastAsia" w:ascii="楷体_GB2312" w:hAnsi="楷体_GB2312" w:eastAsia="楷体_GB2312" w:cs="楷体_GB2312"/>
          <w:b w:val="0"/>
          <w:bCs w:val="0"/>
          <w:color w:val="000000" w:themeColor="text1"/>
          <w:sz w:val="28"/>
          <w:szCs w:val="28"/>
          <w14:textFill>
            <w14:solidFill>
              <w14:schemeClr w14:val="tx1"/>
            </w14:solidFill>
          </w14:textFill>
        </w:rPr>
        <w:t>（一）坚持总体国家安全观</w:t>
      </w:r>
      <w:bookmarkEnd w:id="249"/>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严格落实国家安全责任制，加强国家安全体系和能力建设，建立健全国家安全风险研判、防控协同、防范化解机制。坚决维护国家政权安全、制度安全，严防敌对势力渗透、破坏、颠覆、分裂活动。强化经济安全风险预警、防控机制和能力建设，守住不发生系统性风险底线。开展国家安全宣传教育，巩固国家安全人民防线。坚决服从服务国防军队建设、“一国两制”、祖国统一的国家大局。坚持党管武装，严格落实党委议军等制度；加强后备力量建设，建强民兵组织，推进专武干部队伍和基层武装部规范化建设；加强全民国防教育，扎实做好“双拥共建”工作。</w:t>
      </w:r>
    </w:p>
    <w:p>
      <w:pPr>
        <w:keepNext w:val="0"/>
        <w:keepLines w:val="0"/>
        <w:pageBreakBefore w:val="0"/>
        <w:widowControl w:val="0"/>
        <w:numPr>
          <w:ilvl w:val="0"/>
          <w:numId w:val="5"/>
        </w:numPr>
        <w:pBdr>
          <w:bottom w:val="single" w:color="FFFFFF" w:sz="4" w:space="31"/>
        </w:pBdr>
        <w:kinsoku/>
        <w:wordWrap/>
        <w:overflowPunct/>
        <w:topLinePunct w:val="0"/>
        <w:autoSpaceDE/>
        <w:autoSpaceDN/>
        <w:bidi w:val="0"/>
        <w:adjustRightInd w:val="0"/>
        <w:snapToGrid w:val="0"/>
        <w:spacing w:line="560" w:lineRule="exact"/>
        <w:ind w:left="0" w:leftChars="0" w:firstLine="420" w:firstLineChars="0"/>
        <w:textAlignment w:val="auto"/>
        <w:outlineLvl w:val="2"/>
        <w:rPr>
          <w:rFonts w:hint="eastAsia" w:ascii="楷体_GB2312" w:hAnsi="楷体_GB2312" w:eastAsia="楷体_GB2312" w:cs="楷体_GB2312"/>
          <w:b w:val="0"/>
          <w:bCs w:val="0"/>
          <w:color w:val="000000" w:themeColor="text1"/>
          <w:sz w:val="28"/>
          <w:szCs w:val="28"/>
          <w14:textFill>
            <w14:solidFill>
              <w14:schemeClr w14:val="tx1"/>
            </w14:solidFill>
          </w14:textFill>
        </w:rPr>
      </w:pPr>
      <w:bookmarkStart w:id="250" w:name="_Toc22821"/>
      <w:r>
        <w:rPr>
          <w:rFonts w:hint="eastAsia" w:ascii="楷体_GB2312" w:hAnsi="楷体_GB2312" w:eastAsia="楷体_GB2312" w:cs="楷体_GB2312"/>
          <w:b w:val="0"/>
          <w:bCs w:val="0"/>
          <w:color w:val="000000" w:themeColor="text1"/>
          <w:sz w:val="28"/>
          <w:szCs w:val="28"/>
          <w14:textFill>
            <w14:solidFill>
              <w14:schemeClr w14:val="tx1"/>
            </w14:solidFill>
          </w14:textFill>
        </w:rPr>
        <w:t>推进法治清河建设</w:t>
      </w:r>
      <w:bookmarkEnd w:id="250"/>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562" w:firstLineChars="200"/>
        <w:textAlignment w:val="auto"/>
        <w:outlineLvl w:val="2"/>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扎实抓好法治宣传教育。</w:t>
      </w:r>
      <w:r>
        <w:rPr>
          <w:rFonts w:hint="eastAsia" w:ascii="仿宋_GB2312" w:hAnsi="仿宋_GB2312" w:eastAsia="仿宋_GB2312" w:cs="仿宋_GB2312"/>
          <w:color w:val="000000" w:themeColor="text1"/>
          <w:sz w:val="28"/>
          <w:szCs w:val="28"/>
          <w14:textFill>
            <w14:solidFill>
              <w14:schemeClr w14:val="tx1"/>
            </w14:solidFill>
          </w14:textFill>
        </w:rPr>
        <w:t>切实抓好“七五”普法总结和“八五”普法的规划组织，广泛开展“法律七进”活动</w:t>
      </w:r>
      <w:r>
        <w:rPr>
          <w:rFonts w:hint="eastAsia" w:hAnsi="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加大全民法治宣传教育力度。</w:t>
      </w:r>
      <w:r>
        <w:rPr>
          <w:rFonts w:hint="eastAsia" w:ascii="仿宋_GB2312" w:hAnsi="仿宋_GB2312" w:eastAsia="仿宋_GB2312" w:cs="仿宋_GB2312"/>
          <w:b/>
          <w:bCs/>
          <w:color w:val="000000" w:themeColor="text1"/>
          <w:sz w:val="28"/>
          <w:szCs w:val="28"/>
          <w14:textFill>
            <w14:solidFill>
              <w14:schemeClr w14:val="tx1"/>
            </w14:solidFill>
          </w14:textFill>
        </w:rPr>
        <w:t>切实提高法治建设水平。</w:t>
      </w:r>
      <w:r>
        <w:rPr>
          <w:rFonts w:hint="eastAsia" w:ascii="仿宋_GB2312" w:hAnsi="仿宋_GB2312" w:eastAsia="仿宋_GB2312" w:cs="仿宋_GB2312"/>
          <w:color w:val="000000" w:themeColor="text1"/>
          <w:sz w:val="28"/>
          <w:szCs w:val="28"/>
          <w14:textFill>
            <w14:solidFill>
              <w14:schemeClr w14:val="tx1"/>
            </w14:solidFill>
          </w14:textFill>
        </w:rPr>
        <w:t>进一步配齐、配强依法治县办工作人员，建立健全依法治县工作网络</w:t>
      </w:r>
      <w:r>
        <w:rPr>
          <w:rFonts w:hint="eastAsia" w:hAnsi="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把依法治县工作纳入年度目标绩效考核，</w:t>
      </w:r>
      <w:r>
        <w:rPr>
          <w:rFonts w:hint="eastAsia" w:hAnsi="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强化依法治县工作的督导考核。</w:t>
      </w:r>
      <w:r>
        <w:rPr>
          <w:rFonts w:hint="eastAsia" w:ascii="仿宋_GB2312" w:hAnsi="仿宋_GB2312" w:eastAsia="仿宋_GB2312" w:cs="仿宋_GB2312"/>
          <w:b/>
          <w:bCs/>
          <w:color w:val="000000" w:themeColor="text1"/>
          <w:sz w:val="28"/>
          <w:szCs w:val="28"/>
          <w14:textFill>
            <w14:solidFill>
              <w14:schemeClr w14:val="tx1"/>
            </w14:solidFill>
          </w14:textFill>
        </w:rPr>
        <w:t>加快推进法治政府建设。</w:t>
      </w:r>
      <w:r>
        <w:rPr>
          <w:rFonts w:hint="eastAsia" w:ascii="仿宋_GB2312" w:hAnsi="仿宋_GB2312" w:eastAsia="仿宋_GB2312" w:cs="仿宋_GB2312"/>
          <w:color w:val="000000" w:themeColor="text1"/>
          <w:sz w:val="28"/>
          <w:szCs w:val="28"/>
          <w14:textFill>
            <w14:solidFill>
              <w14:schemeClr w14:val="tx1"/>
            </w14:solidFill>
          </w14:textFill>
        </w:rPr>
        <w:t>严格规范行政执法，严格落实好执法监督工作。加强行政执法人员的培训，进一步提高行政执法人员的能力和水平。严格执行规范性文件“三统一”制度，严格审查把关。</w:t>
      </w:r>
      <w:r>
        <w:rPr>
          <w:rFonts w:hint="eastAsia" w:ascii="仿宋_GB2312" w:hAnsi="仿宋_GB2312" w:eastAsia="仿宋_GB2312" w:cs="仿宋_GB2312"/>
          <w:b/>
          <w:bCs/>
          <w:color w:val="000000" w:themeColor="text1"/>
          <w:sz w:val="28"/>
          <w:szCs w:val="28"/>
          <w14:textFill>
            <w14:solidFill>
              <w14:schemeClr w14:val="tx1"/>
            </w14:solidFill>
          </w14:textFill>
        </w:rPr>
        <w:t>进一步强化人民调解工作。</w:t>
      </w:r>
      <w:r>
        <w:rPr>
          <w:rFonts w:hint="eastAsia" w:ascii="仿宋_GB2312" w:hAnsi="仿宋_GB2312" w:eastAsia="仿宋_GB2312" w:cs="仿宋_GB2312"/>
          <w:color w:val="000000" w:themeColor="text1"/>
          <w:sz w:val="28"/>
          <w:szCs w:val="28"/>
          <w14:textFill>
            <w14:solidFill>
              <w14:schemeClr w14:val="tx1"/>
            </w14:solidFill>
          </w14:textFill>
        </w:rPr>
        <w:t>进一步加大人民调解委员会建设力度，积极开展重点领域矛盾纠纷排查调处工作，及时化解专业领域的矛盾纠纷</w:t>
      </w:r>
      <w:r>
        <w:rPr>
          <w:rFonts w:hint="eastAsia" w:hAnsi="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充分发挥人民调解在维护社会稳定中的重要作用</w:t>
      </w:r>
      <w:r>
        <w:rPr>
          <w:rFonts w:hint="eastAsia" w:hAnsi="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14:textFill>
            <w14:solidFill>
              <w14:schemeClr w14:val="tx1"/>
            </w14:solidFill>
          </w14:textFill>
        </w:rPr>
        <w:t>继续加强特殊人员监管安全。</w:t>
      </w:r>
      <w:r>
        <w:rPr>
          <w:rFonts w:hint="eastAsia" w:ascii="仿宋_GB2312" w:hAnsi="仿宋_GB2312" w:eastAsia="仿宋_GB2312" w:cs="仿宋_GB2312"/>
          <w:color w:val="000000" w:themeColor="text1"/>
          <w:sz w:val="28"/>
          <w:szCs w:val="28"/>
          <w14:textFill>
            <w14:solidFill>
              <w14:schemeClr w14:val="tx1"/>
            </w14:solidFill>
          </w14:textFill>
        </w:rPr>
        <w:t>全力加强对社区矫正对象的管理，建立司法所、派出所、村（居）委会与家庭齐抓共管机制</w:t>
      </w:r>
      <w:r>
        <w:rPr>
          <w:rFonts w:hint="eastAsia" w:hAnsi="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加强刑满释放安置帮教人员管理教育帮扶。</w:t>
      </w:r>
      <w:r>
        <w:rPr>
          <w:rFonts w:hint="eastAsia" w:ascii="仿宋_GB2312" w:hAnsi="仿宋_GB2312" w:eastAsia="仿宋_GB2312" w:cs="仿宋_GB2312"/>
          <w:b/>
          <w:bCs/>
          <w:color w:val="000000" w:themeColor="text1"/>
          <w:sz w:val="28"/>
          <w:szCs w:val="28"/>
          <w14:textFill>
            <w14:solidFill>
              <w14:schemeClr w14:val="tx1"/>
            </w14:solidFill>
          </w14:textFill>
        </w:rPr>
        <w:t>建立健全法律服务机制。</w:t>
      </w:r>
      <w:r>
        <w:rPr>
          <w:rFonts w:hint="eastAsia" w:ascii="仿宋_GB2312" w:hAnsi="仿宋_GB2312" w:eastAsia="仿宋_GB2312" w:cs="仿宋_GB2312"/>
          <w:color w:val="000000" w:themeColor="text1"/>
          <w:sz w:val="28"/>
          <w:szCs w:val="28"/>
          <w14:textFill>
            <w14:solidFill>
              <w14:schemeClr w14:val="tx1"/>
            </w14:solidFill>
          </w14:textFill>
        </w:rPr>
        <w:t>继续完善公共法律服务平台建设，积极做好基层公共法律服务工作站建设。进一步提高法律援助民生工程质量，完善好村居法律顾问制度，进一步提升法律服务水平。</w:t>
      </w:r>
      <w:bookmarkStart w:id="251" w:name="_Toc26160"/>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560" w:firstLineChars="200"/>
        <w:textAlignment w:val="auto"/>
        <w:outlineLvl w:val="2"/>
        <w:rPr>
          <w:rFonts w:hint="eastAsia" w:ascii="楷体_GB2312" w:hAnsi="楷体_GB2312" w:eastAsia="楷体_GB2312" w:cs="楷体_GB2312"/>
          <w:b w:val="0"/>
          <w:bCs w:val="0"/>
          <w:color w:val="000000" w:themeColor="text1"/>
          <w:sz w:val="28"/>
          <w:szCs w:val="28"/>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eastAsia="zh-CN"/>
          <w14:textFill>
            <w14:solidFill>
              <w14:schemeClr w14:val="tx1"/>
            </w14:solidFill>
          </w14:textFill>
        </w:rPr>
        <w:t>（三）</w:t>
      </w:r>
      <w:r>
        <w:rPr>
          <w:rFonts w:hint="eastAsia" w:ascii="楷体_GB2312" w:hAnsi="楷体_GB2312" w:eastAsia="楷体_GB2312" w:cs="楷体_GB2312"/>
          <w:b w:val="0"/>
          <w:bCs w:val="0"/>
          <w:color w:val="000000" w:themeColor="text1"/>
          <w:sz w:val="28"/>
          <w:szCs w:val="28"/>
          <w14:textFill>
            <w14:solidFill>
              <w14:schemeClr w14:val="tx1"/>
            </w14:solidFill>
          </w14:textFill>
        </w:rPr>
        <w:t>加强政府自身建设</w:t>
      </w:r>
      <w:bookmarkEnd w:id="251"/>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562" w:firstLineChars="200"/>
        <w:textAlignment w:val="auto"/>
        <w:outlineLvl w:val="2"/>
        <w:rPr>
          <w:rFonts w:hAnsi="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坚持从严治政，全面提升政府凝聚力。</w:t>
      </w:r>
      <w:r>
        <w:rPr>
          <w:rFonts w:hint="eastAsia" w:ascii="仿宋_GB2312" w:hAnsi="仿宋_GB2312" w:eastAsia="仿宋_GB2312" w:cs="仿宋_GB2312"/>
          <w:color w:val="000000" w:themeColor="text1"/>
          <w:sz w:val="28"/>
          <w:szCs w:val="28"/>
          <w14:textFill>
            <w14:solidFill>
              <w14:schemeClr w14:val="tx1"/>
            </w14:solidFill>
          </w14:textFill>
        </w:rPr>
        <w:t>坚持以习近平新时代中国特色社会主义思想为引领，坚决把思想和行动统一到上级和县委的决策部署上来，确保政令畅通、令行禁止。加强对权力运行的制约，紧盯目标抓落实，进一步凝聚起清河高质量赶超发展合力。</w:t>
      </w:r>
      <w:r>
        <w:rPr>
          <w:rFonts w:hint="eastAsia" w:ascii="仿宋_GB2312" w:hAnsi="仿宋_GB2312" w:eastAsia="仿宋_GB2312" w:cs="仿宋_GB2312"/>
          <w:b/>
          <w:bCs/>
          <w:color w:val="000000" w:themeColor="text1"/>
          <w:sz w:val="28"/>
          <w:szCs w:val="28"/>
          <w14:textFill>
            <w14:solidFill>
              <w14:schemeClr w14:val="tx1"/>
            </w14:solidFill>
          </w14:textFill>
        </w:rPr>
        <w:t>坚持依法行政，全面提升政府公信力。</w:t>
      </w:r>
      <w:r>
        <w:rPr>
          <w:rFonts w:hint="eastAsia" w:ascii="仿宋_GB2312" w:hAnsi="仿宋_GB2312" w:eastAsia="仿宋_GB2312" w:cs="仿宋_GB2312"/>
          <w:color w:val="000000" w:themeColor="text1"/>
          <w:sz w:val="28"/>
          <w:szCs w:val="28"/>
          <w14:textFill>
            <w14:solidFill>
              <w14:schemeClr w14:val="tx1"/>
            </w14:solidFill>
          </w14:textFill>
        </w:rPr>
        <w:t>始终秉承法治工作理念，严格遵照法定程序履行职能，大力推进行政公开；高质量办好人大建议和政协提案，依法接受人大、政协、社会舆论监督。落实“三重一大”集体决策制度，进一步提高科学民主依法决策水平。</w:t>
      </w:r>
      <w:r>
        <w:rPr>
          <w:rFonts w:hint="eastAsia" w:ascii="仿宋_GB2312" w:hAnsi="仿宋_GB2312" w:eastAsia="仿宋_GB2312" w:cs="仿宋_GB2312"/>
          <w:b/>
          <w:bCs/>
          <w:color w:val="000000" w:themeColor="text1"/>
          <w:sz w:val="28"/>
          <w:szCs w:val="28"/>
          <w14:textFill>
            <w14:solidFill>
              <w14:schemeClr w14:val="tx1"/>
            </w14:solidFill>
          </w14:textFill>
        </w:rPr>
        <w:t>坚持务实勤政，全面提升政府执行</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力</w:t>
      </w:r>
      <w:r>
        <w:rPr>
          <w:rFonts w:hint="eastAsia" w:ascii="仿宋_GB2312" w:hAnsi="仿宋_GB2312" w:eastAsia="仿宋_GB2312" w:cs="仿宋_GB2312"/>
          <w:b/>
          <w:bCs/>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坚持以人为本理念，畅通民意诉求渠道，聚焦群众关切，切实解决群众关切的痛点难点问题，注重跟踪问效，着力解决政策落实“最后一公里”问题，确保政府工作件件有落实、事事有回音。</w:t>
      </w:r>
      <w:r>
        <w:rPr>
          <w:rFonts w:hint="eastAsia" w:ascii="仿宋_GB2312" w:hAnsi="仿宋_GB2312" w:eastAsia="仿宋_GB2312" w:cs="仿宋_GB2312"/>
          <w:b/>
          <w:bCs/>
          <w:color w:val="000000" w:themeColor="text1"/>
          <w:sz w:val="28"/>
          <w:szCs w:val="28"/>
          <w14:textFill>
            <w14:solidFill>
              <w14:schemeClr w14:val="tx1"/>
            </w14:solidFill>
          </w14:textFill>
        </w:rPr>
        <w:t>坚持廉洁从政，全面提升政府战斗力。</w:t>
      </w:r>
      <w:r>
        <w:rPr>
          <w:rFonts w:hint="eastAsia" w:ascii="仿宋_GB2312" w:hAnsi="仿宋_GB2312" w:eastAsia="仿宋_GB2312" w:cs="仿宋_GB2312"/>
          <w:color w:val="000000" w:themeColor="text1"/>
          <w:sz w:val="28"/>
          <w:szCs w:val="28"/>
          <w14:textFill>
            <w14:solidFill>
              <w14:schemeClr w14:val="tx1"/>
            </w14:solidFill>
          </w14:textFill>
        </w:rPr>
        <w:t>认真履行政府系统党风廉政建设主体责任，严格执行廉洁从政各项规定，扎实推动廉政风险防控。牢树“过紧日子”思想，坚持厉行节约，严控“三公”经费。加强关领和关键环节监管，大力营造风清气正的干事创业环境</w:t>
      </w:r>
      <w:r>
        <w:rPr>
          <w:rFonts w:hint="eastAsia" w:hAnsi="仿宋_GB2312"/>
          <w:color w:val="000000" w:themeColor="text1"/>
          <w:sz w:val="28"/>
          <w:szCs w:val="28"/>
          <w14:textFill>
            <w14:solidFill>
              <w14:schemeClr w14:val="tx1"/>
            </w14:solidFill>
          </w14:textFill>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560" w:firstLineChars="200"/>
        <w:textAlignment w:val="auto"/>
        <w:outlineLvl w:val="2"/>
        <w:rPr>
          <w:rFonts w:hint="eastAsia" w:ascii="楷体_GB2312" w:hAnsi="楷体_GB2312" w:eastAsia="楷体_GB2312" w:cs="楷体_GB2312"/>
          <w:b w:val="0"/>
          <w:bCs w:val="0"/>
          <w:color w:val="000000" w:themeColor="text1"/>
          <w:sz w:val="28"/>
          <w:szCs w:val="28"/>
          <w14:textFill>
            <w14:solidFill>
              <w14:schemeClr w14:val="tx1"/>
            </w14:solidFill>
          </w14:textFill>
        </w:rPr>
      </w:pPr>
      <w:bookmarkStart w:id="252" w:name="_Toc5270"/>
      <w:r>
        <w:rPr>
          <w:rFonts w:hint="eastAsia" w:ascii="楷体_GB2312" w:hAnsi="楷体_GB2312" w:eastAsia="楷体_GB2312" w:cs="楷体_GB2312"/>
          <w:b w:val="0"/>
          <w:bCs w:val="0"/>
          <w:color w:val="000000" w:themeColor="text1"/>
          <w:sz w:val="28"/>
          <w:szCs w:val="28"/>
          <w:lang w:eastAsia="zh-CN"/>
          <w14:textFill>
            <w14:solidFill>
              <w14:schemeClr w14:val="tx1"/>
            </w14:solidFill>
          </w14:textFill>
        </w:rPr>
        <w:t>（四）</w:t>
      </w:r>
      <w:r>
        <w:rPr>
          <w:rFonts w:hint="eastAsia" w:ascii="楷体_GB2312" w:hAnsi="楷体_GB2312" w:eastAsia="楷体_GB2312" w:cs="楷体_GB2312"/>
          <w:b w:val="0"/>
          <w:bCs w:val="0"/>
          <w:color w:val="000000" w:themeColor="text1"/>
          <w:sz w:val="28"/>
          <w:szCs w:val="28"/>
          <w14:textFill>
            <w14:solidFill>
              <w14:schemeClr w14:val="tx1"/>
            </w14:solidFill>
          </w14:textFill>
        </w:rPr>
        <w:t>加快社会治理现代化</w:t>
      </w:r>
      <w:bookmarkEnd w:id="252"/>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560" w:firstLineChars="200"/>
        <w:textAlignment w:val="auto"/>
        <w:outlineLvl w:val="2"/>
        <w:rPr>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kern w:val="2"/>
          <w:sz w:val="28"/>
          <w:szCs w:val="28"/>
          <w:lang w:val="en-US" w:eastAsia="zh-CN" w:bidi="ar-SA"/>
          <w14:textFill>
            <w14:solidFill>
              <w14:schemeClr w14:val="tx1"/>
            </w14:solidFill>
          </w14:textFill>
        </w:rPr>
        <w:t>对接市级社会治理现代化试点，完善党委领导、政府主导、社会协同、法治保障的社会治理体制，健全城乡基层治理体系。</w:t>
      </w:r>
      <w:r>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t>以党建为引领。</w:t>
      </w:r>
      <w:r>
        <w:rPr>
          <w:rFonts w:hint="eastAsia" w:ascii="仿宋_GB2312" w:hAnsi="仿宋_GB2312" w:eastAsia="仿宋_GB2312" w:cs="仿宋_GB2312"/>
          <w:b w:val="0"/>
          <w:bCs w:val="0"/>
          <w:color w:val="000000" w:themeColor="text1"/>
          <w:kern w:val="2"/>
          <w:sz w:val="28"/>
          <w:szCs w:val="28"/>
          <w:lang w:val="en-US" w:eastAsia="zh-CN" w:bidi="ar-SA"/>
          <w14:textFill>
            <w14:solidFill>
              <w14:schemeClr w14:val="tx1"/>
            </w14:solidFill>
          </w14:textFill>
        </w:rPr>
        <w:t>在基层治理中，充分发挥镇党组织联系群众、组织群众的作用，进一步强化基层党组织的战斗堡垒作用，维护基层社会和谐稳定。</w:t>
      </w:r>
      <w:r>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t>以人民为中心。</w:t>
      </w:r>
      <w:r>
        <w:rPr>
          <w:rFonts w:hint="eastAsia" w:ascii="仿宋_GB2312" w:hAnsi="仿宋_GB2312" w:eastAsia="仿宋_GB2312" w:cs="仿宋_GB2312"/>
          <w:b w:val="0"/>
          <w:bCs w:val="0"/>
          <w:color w:val="000000" w:themeColor="text1"/>
          <w:kern w:val="2"/>
          <w:sz w:val="28"/>
          <w:szCs w:val="28"/>
          <w:lang w:val="en-US" w:eastAsia="zh-CN" w:bidi="ar-SA"/>
          <w14:textFill>
            <w14:solidFill>
              <w14:schemeClr w14:val="tx1"/>
            </w14:solidFill>
          </w14:textFill>
        </w:rPr>
        <w:t>不断健全充满活力的基层群众自治制度，充分激发人民群众的积极性、主动性、创造性，做到治理过程让群众参与、治理成效让群众评判、治理成果让群众共享。</w:t>
      </w:r>
      <w:r>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t>以法治为依托。</w:t>
      </w:r>
      <w:r>
        <w:rPr>
          <w:rFonts w:hint="eastAsia" w:ascii="仿宋_GB2312" w:hAnsi="仿宋_GB2312" w:eastAsia="仿宋_GB2312" w:cs="仿宋_GB2312"/>
          <w:b w:val="0"/>
          <w:bCs w:val="0"/>
          <w:color w:val="000000" w:themeColor="text1"/>
          <w:kern w:val="2"/>
          <w:sz w:val="28"/>
          <w:szCs w:val="28"/>
          <w:lang w:val="en-US" w:eastAsia="zh-CN" w:bidi="ar-SA"/>
          <w14:textFill>
            <w14:solidFill>
              <w14:schemeClr w14:val="tx1"/>
            </w14:solidFill>
          </w14:textFill>
        </w:rPr>
        <w:t>贯彻落实全面依法治国基本方略，进一步完善法规制度、加强实施监督，提高依法执政、依法行政能力，用法治保障人民当家作主。</w:t>
      </w:r>
      <w:r>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t>以科技为支撑。</w:t>
      </w:r>
      <w:r>
        <w:rPr>
          <w:rFonts w:hint="eastAsia" w:ascii="仿宋_GB2312" w:hAnsi="仿宋_GB2312" w:eastAsia="仿宋_GB2312" w:cs="仿宋_GB2312"/>
          <w:b w:val="0"/>
          <w:bCs w:val="0"/>
          <w:color w:val="000000" w:themeColor="text1"/>
          <w:kern w:val="2"/>
          <w:sz w:val="28"/>
          <w:szCs w:val="28"/>
          <w:lang w:val="en-US" w:eastAsia="zh-CN" w:bidi="ar-SA"/>
          <w14:textFill>
            <w14:solidFill>
              <w14:schemeClr w14:val="tx1"/>
            </w14:solidFill>
          </w14:textFill>
        </w:rPr>
        <w:t>依托信息技术优化治理工具，发掘和完善新的指标和评价体系，为城市治理和决策提供支持，提升县域社会治理的科学化、精细化、智能化水平，让科技更好服务人民美好生活。</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firstLine="560" w:firstLineChars="200"/>
        <w:textAlignment w:val="auto"/>
        <w:outlineLvl w:val="2"/>
        <w:rPr>
          <w:rFonts w:ascii="楷体_GB2312" w:hAnsi="楷体_GB2312" w:eastAsia="楷体_GB2312" w:cs="楷体_GB2312"/>
          <w:b w:val="0"/>
          <w:bCs w:val="0"/>
          <w:color w:val="000000" w:themeColor="text1"/>
          <w:sz w:val="28"/>
          <w:szCs w:val="28"/>
          <w14:textFill>
            <w14:solidFill>
              <w14:schemeClr w14:val="tx1"/>
            </w14:solidFill>
          </w14:textFill>
        </w:rPr>
      </w:pPr>
      <w:bookmarkStart w:id="253" w:name="_Toc32509"/>
      <w:r>
        <w:rPr>
          <w:rFonts w:hint="eastAsia" w:ascii="楷体_GB2312" w:hAnsi="楷体_GB2312" w:eastAsia="楷体_GB2312" w:cs="楷体_GB2312"/>
          <w:b w:val="0"/>
          <w:bCs w:val="0"/>
          <w:color w:val="000000" w:themeColor="text1"/>
          <w:sz w:val="28"/>
          <w:szCs w:val="28"/>
          <w14:textFill>
            <w14:solidFill>
              <w14:schemeClr w14:val="tx1"/>
            </w14:solidFill>
          </w14:textFill>
        </w:rPr>
        <w:t>（五）维护社会稳定</w:t>
      </w:r>
      <w:bookmarkEnd w:id="253"/>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推进落实市域社会治理现代化试点工作，创新发展以“鉴调一体”为代表的新时代“枫桥经验”清河版，打造源头防控、排查梳理、纠纷化解、应急处置的社会矛盾综合治理机制。健全重大决策社会稳定评估机制，确保有效防范和妥善处置群体性事件。加强和改进信访工作，完善领导干部包联和接访下访制度，强化源头预防化解，及时解决群众的合理诉求；提升初信初访一次办结率，确保做到“北京不去、河北不聚”。坚持依法治访，提升信访工作规范化、科学化、法治化水平。健全社会心理服务体系和危机干预机制。坚持专群结合、群防群治，加强社会治安防控体系建设。扎实推进“平安清河”建设，新建和改造13个智能化派出所，健全扫黑除恶常态化机制，坚决防范和打击暴力恐怖、黑恶势力、新型网络犯罪，坚决防止发生重特大刑事案件和公共安全事件，保持社会和谐稳定。深化政法队伍教育整顿，拓展“一案三查”成果，强化人防物防技防，筑牢“三道防线”，做好重大活动安保工作。“十四五”期间，力争全县规范化调委会达到100%，全县人民调解成功率达到98%以上。</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firstLine="560" w:firstLineChars="200"/>
        <w:textAlignment w:val="auto"/>
        <w:outlineLvl w:val="2"/>
        <w:rPr>
          <w:rFonts w:ascii="楷体_GB2312" w:hAnsi="楷体_GB2312" w:eastAsia="楷体_GB2312" w:cs="楷体_GB2312"/>
          <w:b w:val="0"/>
          <w:bCs w:val="0"/>
          <w:color w:val="000000" w:themeColor="text1"/>
          <w:sz w:val="28"/>
          <w:szCs w:val="28"/>
          <w14:textFill>
            <w14:solidFill>
              <w14:schemeClr w14:val="tx1"/>
            </w14:solidFill>
          </w14:textFill>
        </w:rPr>
      </w:pPr>
      <w:bookmarkStart w:id="254" w:name="_Toc15471"/>
      <w:r>
        <w:rPr>
          <w:rFonts w:hint="eastAsia" w:ascii="楷体_GB2312" w:hAnsi="楷体_GB2312" w:eastAsia="楷体_GB2312" w:cs="楷体_GB2312"/>
          <w:b w:val="0"/>
          <w:bCs w:val="0"/>
          <w:color w:val="000000" w:themeColor="text1"/>
          <w:sz w:val="28"/>
          <w:szCs w:val="28"/>
          <w14:textFill>
            <w14:solidFill>
              <w14:schemeClr w14:val="tx1"/>
            </w14:solidFill>
          </w14:textFill>
        </w:rPr>
        <w:t>（六）保障人民安全</w:t>
      </w:r>
      <w:bookmarkEnd w:id="254"/>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firstLine="560" w:firstLineChars="200"/>
        <w:textAlignment w:val="auto"/>
        <w:rPr>
          <w:rStyle w:val="31"/>
          <w:rFonts w:ascii="Times New Roman" w:hAnsi="Times New Roman" w:cs="Times New Roman"/>
          <w:color w:val="000000" w:themeColor="text1"/>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坚持人民至上、生命至上，把保护人民生命安全摆在首位，健全公共安全隐患排查和化解机制。深入推进安全生产专项整治三年行动，完善和落实安全生产责任制，加强安全生产监管执法，持续开展危险化学品、建筑施工、交通、消防等重点行业领域专项整治，严防重特大安全事故。健全追溯机制</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强化源头治理和全过程监管，提高食品药品安全保障水平。完善应急处置机制，提高快速反应能力，加强应急物资保障体系建设，提升洪涝干旱、森林火灾、地震等自然灾害防御工程标准，提高防灾、减灾、抗灾、救灾能力。</w:t>
      </w:r>
      <w:bookmarkStart w:id="255" w:name="_Toc16433"/>
      <w:bookmarkStart w:id="256" w:name="_Toc30361"/>
      <w:r>
        <w:rPr>
          <w:rStyle w:val="31"/>
          <w:rFonts w:ascii="Times New Roman" w:hAnsi="Times New Roman" w:cs="Times New Roman"/>
          <w:color w:val="000000" w:themeColor="text1"/>
          <w14:textFill>
            <w14:solidFill>
              <w14:schemeClr w14:val="tx1"/>
            </w14:solidFill>
          </w14:textFill>
        </w:rPr>
        <w:br w:type="page"/>
      </w:r>
    </w:p>
    <w:p>
      <w:pPr>
        <w:pStyle w:val="4"/>
        <w:keepNext w:val="0"/>
        <w:keepLines w:val="0"/>
        <w:pageBreakBefore w:val="0"/>
        <w:widowControl w:val="0"/>
        <w:kinsoku/>
        <w:wordWrap/>
        <w:overflowPunct/>
        <w:topLinePunct w:val="0"/>
        <w:autoSpaceDE/>
        <w:autoSpaceDN/>
        <w:bidi w:val="0"/>
        <w:spacing w:before="0" w:after="0" w:line="600" w:lineRule="exact"/>
        <w:jc w:val="center"/>
        <w:textAlignment w:val="auto"/>
        <w:rPr>
          <w:rFonts w:ascii="宋体" w:hAnsi="宋体" w:eastAsia="宋体" w:cs="宋体"/>
          <w:color w:val="000000" w:themeColor="text1"/>
          <w:sz w:val="36"/>
          <w:szCs w:val="20"/>
          <w14:textFill>
            <w14:solidFill>
              <w14:schemeClr w14:val="tx1"/>
            </w14:solidFill>
          </w14:textFill>
        </w:rPr>
      </w:pPr>
      <w:bookmarkStart w:id="257" w:name="_Toc28943"/>
      <w:bookmarkStart w:id="258" w:name="_Toc18671"/>
      <w:bookmarkStart w:id="259" w:name="_Toc13783"/>
      <w:r>
        <w:rPr>
          <w:rFonts w:hint="eastAsia" w:ascii="宋体" w:hAnsi="宋体" w:eastAsia="宋体" w:cs="宋体"/>
          <w:color w:val="000000" w:themeColor="text1"/>
          <w:sz w:val="36"/>
          <w:szCs w:val="20"/>
          <w14:textFill>
            <w14:solidFill>
              <w14:schemeClr w14:val="tx1"/>
            </w14:solidFill>
          </w14:textFill>
        </w:rPr>
        <w:t>第六章  “十四五”时期规划落实的保障措施</w:t>
      </w:r>
      <w:bookmarkEnd w:id="255"/>
      <w:bookmarkEnd w:id="257"/>
      <w:bookmarkEnd w:id="258"/>
      <w:bookmarkEnd w:id="259"/>
    </w:p>
    <w:bookmarkEnd w:id="256"/>
    <w:p>
      <w:pPr>
        <w:pStyle w:val="23"/>
        <w:keepNext w:val="0"/>
        <w:keepLines w:val="0"/>
        <w:pageBreakBefore w:val="0"/>
        <w:widowControl w:val="0"/>
        <w:kinsoku/>
        <w:wordWrap/>
        <w:overflowPunct/>
        <w:topLinePunct w:val="0"/>
        <w:autoSpaceDE/>
        <w:autoSpaceDN/>
        <w:bidi w:val="0"/>
        <w:spacing w:before="0" w:beforeAutospacing="0" w:after="0" w:afterAutospacing="0" w:line="540" w:lineRule="exact"/>
        <w:ind w:firstLine="560" w:firstLineChars="200"/>
        <w:jc w:val="both"/>
        <w:textAlignment w:val="auto"/>
        <w:rPr>
          <w:rFonts w:ascii="仿宋_GB2312" w:hAnsi="仿宋_GB2312" w:eastAsia="仿宋_GB2312" w:cs="仿宋_GB2312"/>
          <w:color w:val="000000" w:themeColor="text1"/>
          <w:kern w:val="2"/>
          <w:sz w:val="28"/>
          <w:szCs w:val="28"/>
          <w14:textFill>
            <w14:solidFill>
              <w14:schemeClr w14:val="tx1"/>
            </w14:solidFill>
          </w14:textFill>
        </w:rPr>
      </w:pPr>
      <w:bookmarkStart w:id="260" w:name="_Toc46068285"/>
    </w:p>
    <w:p>
      <w:pPr>
        <w:pStyle w:val="23"/>
        <w:keepNext w:val="0"/>
        <w:keepLines w:val="0"/>
        <w:pageBreakBefore w:val="0"/>
        <w:widowControl w:val="0"/>
        <w:kinsoku/>
        <w:wordWrap/>
        <w:overflowPunct/>
        <w:topLinePunct w:val="0"/>
        <w:autoSpaceDE/>
        <w:autoSpaceDN/>
        <w:bidi w:val="0"/>
        <w:spacing w:before="0" w:beforeAutospacing="0" w:after="0" w:afterAutospacing="0" w:line="540" w:lineRule="exact"/>
        <w:ind w:firstLine="560" w:firstLineChars="200"/>
        <w:jc w:val="both"/>
        <w:textAlignment w:val="auto"/>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规划实施过程中，</w:t>
      </w:r>
      <w:bookmarkEnd w:id="260"/>
      <w:r>
        <w:rPr>
          <w:rFonts w:hint="eastAsia" w:ascii="仿宋_GB2312" w:hAnsi="仿宋_GB2312" w:eastAsia="仿宋_GB2312" w:cs="仿宋_GB2312"/>
          <w:color w:val="000000" w:themeColor="text1"/>
          <w:kern w:val="2"/>
          <w:sz w:val="28"/>
          <w:szCs w:val="28"/>
          <w14:textFill>
            <w14:solidFill>
              <w14:schemeClr w14:val="tx1"/>
            </w14:solidFill>
          </w14:textFill>
        </w:rPr>
        <w:t>要坚持党总揽全局、协调各方的领导核心作用，在各级党委的坚强领导下，更好履行政府责任、提升政府效能，建立健全实施机制，形成全体人民群策群力、共建共享的生动局面。要加强统筹协调，强化责任落实，健全规划实施保障体系，全面开展和推进各项工作，确保“十四五”规划的落地落实。</w:t>
      </w:r>
    </w:p>
    <w:p>
      <w:pPr>
        <w:pStyle w:val="5"/>
        <w:keepNext w:val="0"/>
        <w:keepLines w:val="0"/>
        <w:pageBreakBefore w:val="0"/>
        <w:widowControl w:val="0"/>
        <w:kinsoku/>
        <w:wordWrap/>
        <w:overflowPunct/>
        <w:topLinePunct w:val="0"/>
        <w:autoSpaceDE/>
        <w:autoSpaceDN/>
        <w:bidi w:val="0"/>
        <w:spacing w:before="0" w:after="0" w:line="540" w:lineRule="exact"/>
        <w:ind w:firstLine="560" w:firstLineChars="200"/>
        <w:textAlignment w:val="auto"/>
        <w:rPr>
          <w:rFonts w:ascii="黑体" w:hAnsi="黑体" w:eastAsia="黑体"/>
          <w:b w:val="0"/>
          <w:bCs w:val="0"/>
          <w:color w:val="000000" w:themeColor="text1"/>
          <w:sz w:val="28"/>
          <w:szCs w:val="28"/>
          <w14:textFill>
            <w14:solidFill>
              <w14:schemeClr w14:val="tx1"/>
            </w14:solidFill>
          </w14:textFill>
        </w:rPr>
      </w:pPr>
      <w:bookmarkStart w:id="261" w:name="_Toc13116"/>
      <w:bookmarkStart w:id="262" w:name="_Toc4363"/>
      <w:bookmarkStart w:id="263" w:name="_Toc25717"/>
      <w:bookmarkStart w:id="264" w:name="_Toc32088"/>
      <w:bookmarkStart w:id="265" w:name="_Toc21361"/>
      <w:r>
        <w:rPr>
          <w:rFonts w:hint="eastAsia" w:ascii="黑体" w:hAnsi="黑体" w:eastAsia="黑体"/>
          <w:b w:val="0"/>
          <w:bCs w:val="0"/>
          <w:color w:val="000000" w:themeColor="text1"/>
          <w:sz w:val="28"/>
          <w:szCs w:val="28"/>
          <w14:textFill>
            <w14:solidFill>
              <w14:schemeClr w14:val="tx1"/>
            </w14:solidFill>
          </w14:textFill>
        </w:rPr>
        <w:t>一、明确责任主体推进机制</w:t>
      </w:r>
      <w:bookmarkEnd w:id="261"/>
      <w:bookmarkEnd w:id="262"/>
      <w:bookmarkEnd w:id="263"/>
      <w:bookmarkEnd w:id="264"/>
      <w:bookmarkEnd w:id="265"/>
    </w:p>
    <w:p>
      <w:pPr>
        <w:pStyle w:val="6"/>
        <w:keepNext w:val="0"/>
        <w:keepLines w:val="0"/>
        <w:pageBreakBefore w:val="0"/>
        <w:widowControl w:val="0"/>
        <w:kinsoku/>
        <w:wordWrap/>
        <w:overflowPunct/>
        <w:topLinePunct w:val="0"/>
        <w:autoSpaceDE/>
        <w:autoSpaceDN/>
        <w:bidi w:val="0"/>
        <w:spacing w:before="0" w:after="0" w:line="540" w:lineRule="exact"/>
        <w:ind w:firstLine="560" w:firstLineChars="200"/>
        <w:textAlignment w:val="auto"/>
        <w:rPr>
          <w:rFonts w:ascii="楷体_GB2312" w:hAnsi="楷体_GB2312" w:eastAsia="楷体_GB2312" w:cs="楷体_GB2312"/>
          <w:b w:val="0"/>
          <w:bCs w:val="0"/>
          <w:color w:val="000000" w:themeColor="text1"/>
          <w:sz w:val="28"/>
          <w:szCs w:val="28"/>
          <w14:textFill>
            <w14:solidFill>
              <w14:schemeClr w14:val="tx1"/>
            </w14:solidFill>
          </w14:textFill>
        </w:rPr>
      </w:pPr>
      <w:bookmarkStart w:id="266" w:name="_Toc31988"/>
      <w:bookmarkStart w:id="267" w:name="_Toc28894"/>
      <w:bookmarkStart w:id="268" w:name="_Toc29915"/>
      <w:bookmarkStart w:id="269" w:name="_Toc19616"/>
      <w:r>
        <w:rPr>
          <w:rFonts w:hint="eastAsia" w:ascii="楷体_GB2312" w:hAnsi="楷体_GB2312" w:eastAsia="楷体_GB2312" w:cs="楷体_GB2312"/>
          <w:b w:val="0"/>
          <w:bCs w:val="0"/>
          <w:color w:val="000000" w:themeColor="text1"/>
          <w:sz w:val="28"/>
          <w:szCs w:val="28"/>
          <w14:textFill>
            <w14:solidFill>
              <w14:schemeClr w14:val="tx1"/>
            </w14:solidFill>
          </w14:textFill>
        </w:rPr>
        <w:t>（一）明确目标任务分工</w:t>
      </w:r>
      <w:bookmarkEnd w:id="266"/>
      <w:bookmarkEnd w:id="267"/>
      <w:bookmarkEnd w:id="268"/>
      <w:bookmarkEnd w:id="269"/>
    </w:p>
    <w:p>
      <w:pPr>
        <w:pStyle w:val="23"/>
        <w:keepNext w:val="0"/>
        <w:keepLines w:val="0"/>
        <w:pageBreakBefore w:val="0"/>
        <w:widowControl w:val="0"/>
        <w:kinsoku/>
        <w:wordWrap/>
        <w:overflowPunct/>
        <w:topLinePunct w:val="0"/>
        <w:autoSpaceDE/>
        <w:autoSpaceDN/>
        <w:bidi w:val="0"/>
        <w:spacing w:before="0" w:beforeAutospacing="0" w:after="0" w:afterAutospacing="0" w:line="540" w:lineRule="exact"/>
        <w:ind w:firstLine="560" w:firstLineChars="200"/>
        <w:jc w:val="both"/>
        <w:textAlignment w:val="auto"/>
        <w:rPr>
          <w:rFonts w:ascii="仿宋_GB2312" w:hAnsi="仿宋_GB2312" w:eastAsia="仿宋_GB2312" w:cs="仿宋_GB2312"/>
          <w:color w:val="000000" w:themeColor="text1"/>
          <w:kern w:val="2"/>
          <w:sz w:val="28"/>
          <w:szCs w:val="28"/>
          <w14:textFill>
            <w14:solidFill>
              <w14:schemeClr w14:val="tx1"/>
            </w14:solidFill>
          </w14:textFill>
        </w:rPr>
      </w:pPr>
      <w:r>
        <w:rPr>
          <w:rFonts w:ascii="仿宋_GB2312" w:hAnsi="仿宋_GB2312" w:eastAsia="仿宋_GB2312" w:cs="仿宋_GB2312"/>
          <w:color w:val="000000" w:themeColor="text1"/>
          <w:kern w:val="2"/>
          <w:sz w:val="28"/>
          <w:szCs w:val="28"/>
          <w14:textFill>
            <w14:solidFill>
              <w14:schemeClr w14:val="tx1"/>
            </w14:solidFill>
          </w14:textFill>
        </w:rPr>
        <w:t>各</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相关单位</w:t>
      </w:r>
      <w:r>
        <w:rPr>
          <w:rFonts w:ascii="仿宋_GB2312" w:hAnsi="仿宋_GB2312" w:eastAsia="仿宋_GB2312" w:cs="仿宋_GB2312"/>
          <w:color w:val="000000" w:themeColor="text1"/>
          <w:kern w:val="2"/>
          <w:sz w:val="28"/>
          <w:szCs w:val="28"/>
          <w14:textFill>
            <w14:solidFill>
              <w14:schemeClr w14:val="tx1"/>
            </w14:solidFill>
          </w14:textFill>
        </w:rPr>
        <w:t>要根据职责分工，</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对标</w:t>
      </w:r>
      <w:r>
        <w:rPr>
          <w:rFonts w:ascii="仿宋_GB2312" w:hAnsi="仿宋_GB2312" w:eastAsia="仿宋_GB2312" w:cs="仿宋_GB2312"/>
          <w:color w:val="000000" w:themeColor="text1"/>
          <w:kern w:val="2"/>
          <w:sz w:val="28"/>
          <w:szCs w:val="28"/>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规划纲要</w:t>
      </w:r>
      <w:r>
        <w:rPr>
          <w:rFonts w:ascii="仿宋_GB2312" w:hAnsi="仿宋_GB2312" w:eastAsia="仿宋_GB2312" w:cs="仿宋_GB2312"/>
          <w:color w:val="000000" w:themeColor="text1"/>
          <w:kern w:val="2"/>
          <w:sz w:val="28"/>
          <w:szCs w:val="28"/>
          <w14:textFill>
            <w14:solidFill>
              <w14:schemeClr w14:val="tx1"/>
            </w14:solidFill>
          </w14:textFill>
        </w:rPr>
        <w:t>》</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，制定</w:t>
      </w:r>
      <w:r>
        <w:rPr>
          <w:rFonts w:ascii="仿宋_GB2312" w:hAnsi="仿宋_GB2312" w:eastAsia="仿宋_GB2312" w:cs="仿宋_GB2312"/>
          <w:color w:val="000000" w:themeColor="text1"/>
          <w:kern w:val="2"/>
          <w:sz w:val="28"/>
          <w:szCs w:val="28"/>
          <w14:textFill>
            <w14:solidFill>
              <w14:schemeClr w14:val="tx1"/>
            </w14:solidFill>
          </w14:textFill>
        </w:rPr>
        <w:t>本</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单位</w:t>
      </w:r>
      <w:r>
        <w:rPr>
          <w:rFonts w:ascii="仿宋_GB2312" w:hAnsi="仿宋_GB2312" w:eastAsia="仿宋_GB2312" w:cs="仿宋_GB2312"/>
          <w:color w:val="000000" w:themeColor="text1"/>
          <w:kern w:val="2"/>
          <w:sz w:val="28"/>
          <w:szCs w:val="28"/>
          <w14:textFill>
            <w14:solidFill>
              <w14:schemeClr w14:val="tx1"/>
            </w14:solidFill>
          </w14:textFill>
        </w:rPr>
        <w:t>的主要目标和任务实施方案，明确责任主体、实施时间表和路线图，确保各项目标任务落地。</w:t>
      </w:r>
    </w:p>
    <w:p>
      <w:pPr>
        <w:pStyle w:val="6"/>
        <w:keepNext w:val="0"/>
        <w:keepLines w:val="0"/>
        <w:pageBreakBefore w:val="0"/>
        <w:widowControl w:val="0"/>
        <w:kinsoku/>
        <w:wordWrap/>
        <w:overflowPunct/>
        <w:topLinePunct w:val="0"/>
        <w:autoSpaceDE/>
        <w:autoSpaceDN/>
        <w:bidi w:val="0"/>
        <w:spacing w:before="0" w:after="0" w:line="540" w:lineRule="exact"/>
        <w:ind w:firstLine="560" w:firstLineChars="200"/>
        <w:textAlignment w:val="auto"/>
        <w:rPr>
          <w:rFonts w:ascii="楷体_GB2312" w:hAnsi="楷体_GB2312" w:eastAsia="楷体_GB2312" w:cs="楷体_GB2312"/>
          <w:b w:val="0"/>
          <w:bCs w:val="0"/>
          <w:color w:val="000000" w:themeColor="text1"/>
          <w:sz w:val="28"/>
          <w:szCs w:val="28"/>
          <w14:textFill>
            <w14:solidFill>
              <w14:schemeClr w14:val="tx1"/>
            </w14:solidFill>
          </w14:textFill>
        </w:rPr>
      </w:pPr>
      <w:bookmarkStart w:id="270" w:name="_Toc11709"/>
      <w:bookmarkStart w:id="271" w:name="_Toc25444"/>
      <w:bookmarkStart w:id="272" w:name="_Toc19580"/>
      <w:bookmarkStart w:id="273" w:name="_Toc18590"/>
      <w:r>
        <w:rPr>
          <w:rFonts w:hint="eastAsia" w:ascii="楷体_GB2312" w:hAnsi="楷体_GB2312" w:eastAsia="楷体_GB2312" w:cs="楷体_GB2312"/>
          <w:b w:val="0"/>
          <w:bCs w:val="0"/>
          <w:color w:val="000000" w:themeColor="text1"/>
          <w:sz w:val="28"/>
          <w:szCs w:val="28"/>
          <w14:textFill>
            <w14:solidFill>
              <w14:schemeClr w14:val="tx1"/>
            </w14:solidFill>
          </w14:textFill>
        </w:rPr>
        <w:t>（二）建立责任推进机制</w:t>
      </w:r>
      <w:bookmarkEnd w:id="270"/>
      <w:bookmarkEnd w:id="271"/>
      <w:bookmarkEnd w:id="272"/>
      <w:bookmarkEnd w:id="273"/>
    </w:p>
    <w:p>
      <w:pPr>
        <w:pStyle w:val="23"/>
        <w:keepNext w:val="0"/>
        <w:keepLines w:val="0"/>
        <w:pageBreakBefore w:val="0"/>
        <w:widowControl w:val="0"/>
        <w:kinsoku/>
        <w:wordWrap/>
        <w:overflowPunct/>
        <w:topLinePunct w:val="0"/>
        <w:autoSpaceDE/>
        <w:autoSpaceDN/>
        <w:bidi w:val="0"/>
        <w:spacing w:before="0" w:beforeAutospacing="0" w:after="0" w:afterAutospacing="0" w:line="540" w:lineRule="exact"/>
        <w:ind w:firstLine="560" w:firstLineChars="200"/>
        <w:jc w:val="both"/>
        <w:textAlignment w:val="auto"/>
        <w:rPr>
          <w:rFonts w:ascii="Times New Roman" w:hAnsi="Times New Roman" w:eastAsia="仿宋_GB2312" w:cs="Times New Roman"/>
          <w:color w:val="000000" w:themeColor="text1"/>
          <w:kern w:val="2"/>
          <w:sz w:val="28"/>
          <w:szCs w:val="28"/>
          <w14:textFill>
            <w14:solidFill>
              <w14:schemeClr w14:val="tx1"/>
            </w14:solidFill>
          </w14:textFill>
        </w:rPr>
      </w:pPr>
      <w:r>
        <w:rPr>
          <w:rFonts w:ascii="仿宋_GB2312" w:hAnsi="仿宋_GB2312" w:eastAsia="仿宋_GB2312" w:cs="仿宋_GB2312"/>
          <w:color w:val="000000" w:themeColor="text1"/>
          <w:kern w:val="2"/>
          <w:sz w:val="28"/>
          <w:szCs w:val="28"/>
          <w14:textFill>
            <w14:solidFill>
              <w14:schemeClr w14:val="tx1"/>
            </w14:solidFill>
          </w14:textFill>
        </w:rPr>
        <w:t>各</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相关单位</w:t>
      </w:r>
      <w:r>
        <w:rPr>
          <w:rFonts w:ascii="Times New Roman" w:hAnsi="Times New Roman" w:eastAsia="仿宋_GB2312" w:cs="Times New Roman"/>
          <w:color w:val="000000" w:themeColor="text1"/>
          <w:kern w:val="2"/>
          <w:sz w:val="28"/>
          <w:szCs w:val="28"/>
          <w14:textFill>
            <w14:solidFill>
              <w14:schemeClr w14:val="tx1"/>
            </w14:solidFill>
          </w14:textFill>
        </w:rPr>
        <w:t>要将《</w:t>
      </w:r>
      <w:r>
        <w:rPr>
          <w:rFonts w:hint="eastAsia" w:ascii="Times New Roman" w:hAnsi="Times New Roman" w:eastAsia="仿宋_GB2312" w:cs="Times New Roman"/>
          <w:color w:val="000000" w:themeColor="text1"/>
          <w:kern w:val="2"/>
          <w:sz w:val="28"/>
          <w:szCs w:val="28"/>
          <w14:textFill>
            <w14:solidFill>
              <w14:schemeClr w14:val="tx1"/>
            </w14:solidFill>
          </w14:textFill>
        </w:rPr>
        <w:t>规划纲要</w:t>
      </w:r>
      <w:r>
        <w:rPr>
          <w:rFonts w:ascii="Times New Roman" w:hAnsi="Times New Roman" w:eastAsia="仿宋_GB2312" w:cs="Times New Roman"/>
          <w:color w:val="000000" w:themeColor="text1"/>
          <w:kern w:val="2"/>
          <w:sz w:val="28"/>
          <w:szCs w:val="28"/>
          <w14:textFill>
            <w14:solidFill>
              <w14:schemeClr w14:val="tx1"/>
            </w14:solidFill>
          </w14:textFill>
        </w:rPr>
        <w:t>》重大任务落实情况和实施计划列入党委</w:t>
      </w:r>
      <w:r>
        <w:rPr>
          <w:rFonts w:hint="eastAsia" w:ascii="Times New Roman" w:hAnsi="Times New Roman" w:eastAsia="仿宋_GB2312" w:cs="Times New Roman"/>
          <w:color w:val="000000" w:themeColor="text1"/>
          <w:kern w:val="2"/>
          <w:sz w:val="28"/>
          <w:szCs w:val="28"/>
          <w14:textFill>
            <w14:solidFill>
              <w14:schemeClr w14:val="tx1"/>
            </w14:solidFill>
          </w14:textFill>
        </w:rPr>
        <w:t>（</w:t>
      </w:r>
      <w:r>
        <w:rPr>
          <w:rFonts w:ascii="Times New Roman" w:hAnsi="Times New Roman" w:eastAsia="仿宋_GB2312" w:cs="Times New Roman"/>
          <w:color w:val="000000" w:themeColor="text1"/>
          <w:kern w:val="2"/>
          <w:sz w:val="28"/>
          <w:szCs w:val="28"/>
          <w14:textFill>
            <w14:solidFill>
              <w14:schemeClr w14:val="tx1"/>
            </w14:solidFill>
          </w14:textFill>
        </w:rPr>
        <w:t>党组</w:t>
      </w:r>
      <w:r>
        <w:rPr>
          <w:rFonts w:hint="eastAsia" w:ascii="Times New Roman" w:hAnsi="Times New Roman" w:eastAsia="仿宋_GB2312" w:cs="Times New Roman"/>
          <w:color w:val="000000" w:themeColor="text1"/>
          <w:kern w:val="2"/>
          <w:sz w:val="28"/>
          <w:szCs w:val="28"/>
          <w14:textFill>
            <w14:solidFill>
              <w14:schemeClr w14:val="tx1"/>
            </w14:solidFill>
          </w14:textFill>
        </w:rPr>
        <w:t>）</w:t>
      </w:r>
      <w:r>
        <w:rPr>
          <w:rFonts w:ascii="Times New Roman" w:hAnsi="Times New Roman" w:eastAsia="仿宋_GB2312" w:cs="Times New Roman"/>
          <w:color w:val="000000" w:themeColor="text1"/>
          <w:kern w:val="2"/>
          <w:sz w:val="28"/>
          <w:szCs w:val="28"/>
          <w14:textFill>
            <w14:solidFill>
              <w14:schemeClr w14:val="tx1"/>
            </w14:solidFill>
          </w14:textFill>
        </w:rPr>
        <w:t>和政府会议年度重点事项，主要负责同志为第一责任人，班子其他成员按照分工抓好主要指标以及重大工程、重大项目、重大政策的落实工作。</w:t>
      </w:r>
    </w:p>
    <w:p>
      <w:pPr>
        <w:pStyle w:val="5"/>
        <w:keepNext w:val="0"/>
        <w:keepLines w:val="0"/>
        <w:pageBreakBefore w:val="0"/>
        <w:widowControl w:val="0"/>
        <w:kinsoku/>
        <w:wordWrap/>
        <w:overflowPunct/>
        <w:topLinePunct w:val="0"/>
        <w:autoSpaceDE/>
        <w:autoSpaceDN/>
        <w:bidi w:val="0"/>
        <w:spacing w:before="0" w:after="0" w:line="540" w:lineRule="exact"/>
        <w:ind w:firstLine="560" w:firstLineChars="200"/>
        <w:textAlignment w:val="auto"/>
        <w:rPr>
          <w:rFonts w:ascii="黑体" w:hAnsi="黑体" w:eastAsia="黑体"/>
          <w:b w:val="0"/>
          <w:bCs w:val="0"/>
          <w:color w:val="000000" w:themeColor="text1"/>
          <w:sz w:val="28"/>
          <w:szCs w:val="28"/>
          <w14:textFill>
            <w14:solidFill>
              <w14:schemeClr w14:val="tx1"/>
            </w14:solidFill>
          </w14:textFill>
        </w:rPr>
      </w:pPr>
      <w:bookmarkStart w:id="274" w:name="_Toc5582"/>
      <w:bookmarkStart w:id="275" w:name="_Toc21994"/>
      <w:bookmarkStart w:id="276" w:name="_Toc30083"/>
      <w:bookmarkStart w:id="277" w:name="_Toc14611"/>
      <w:bookmarkStart w:id="278" w:name="_Toc1726"/>
      <w:r>
        <w:rPr>
          <w:rFonts w:hint="eastAsia" w:ascii="黑体" w:hAnsi="黑体" w:eastAsia="黑体"/>
          <w:b w:val="0"/>
          <w:bCs w:val="0"/>
          <w:color w:val="000000" w:themeColor="text1"/>
          <w:sz w:val="28"/>
          <w:szCs w:val="28"/>
          <w14:textFill>
            <w14:solidFill>
              <w14:schemeClr w14:val="tx1"/>
            </w14:solidFill>
          </w14:textFill>
        </w:rPr>
        <w:t>二、健全相互衔接的规划体系</w:t>
      </w:r>
      <w:bookmarkEnd w:id="274"/>
      <w:bookmarkEnd w:id="275"/>
      <w:bookmarkEnd w:id="276"/>
      <w:bookmarkEnd w:id="277"/>
      <w:bookmarkEnd w:id="278"/>
    </w:p>
    <w:p>
      <w:pPr>
        <w:pStyle w:val="6"/>
        <w:keepNext w:val="0"/>
        <w:keepLines w:val="0"/>
        <w:pageBreakBefore w:val="0"/>
        <w:widowControl w:val="0"/>
        <w:kinsoku/>
        <w:wordWrap/>
        <w:overflowPunct/>
        <w:topLinePunct w:val="0"/>
        <w:autoSpaceDE/>
        <w:autoSpaceDN/>
        <w:bidi w:val="0"/>
        <w:spacing w:before="0" w:after="0" w:line="540" w:lineRule="exact"/>
        <w:ind w:firstLine="560" w:firstLineChars="200"/>
        <w:textAlignment w:val="auto"/>
        <w:rPr>
          <w:rFonts w:ascii="楷体_GB2312" w:hAnsi="楷体_GB2312" w:eastAsia="楷体_GB2312" w:cs="楷体_GB2312"/>
          <w:b w:val="0"/>
          <w:bCs w:val="0"/>
          <w:color w:val="000000" w:themeColor="text1"/>
          <w:sz w:val="28"/>
          <w:szCs w:val="28"/>
          <w14:textFill>
            <w14:solidFill>
              <w14:schemeClr w14:val="tx1"/>
            </w14:solidFill>
          </w14:textFill>
        </w:rPr>
      </w:pPr>
      <w:bookmarkStart w:id="279" w:name="_Toc22830"/>
      <w:bookmarkStart w:id="280" w:name="_Toc5254"/>
      <w:bookmarkStart w:id="281" w:name="_Toc31969"/>
      <w:bookmarkStart w:id="282" w:name="_Toc17412"/>
      <w:r>
        <w:rPr>
          <w:rFonts w:hint="eastAsia" w:ascii="楷体_GB2312" w:hAnsi="楷体_GB2312" w:eastAsia="楷体_GB2312" w:cs="楷体_GB2312"/>
          <w:b w:val="0"/>
          <w:bCs w:val="0"/>
          <w:color w:val="000000" w:themeColor="text1"/>
          <w:sz w:val="28"/>
          <w:szCs w:val="28"/>
          <w14:textFill>
            <w14:solidFill>
              <w14:schemeClr w14:val="tx1"/>
            </w14:solidFill>
          </w14:textFill>
        </w:rPr>
        <w:t>（一）健全规划体系</w:t>
      </w:r>
      <w:bookmarkEnd w:id="279"/>
      <w:bookmarkEnd w:id="280"/>
      <w:bookmarkEnd w:id="281"/>
      <w:bookmarkEnd w:id="282"/>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Times New Roman" w:hAnsi="Times New Roman" w:eastAsia="仿宋_GB2312" w:cs="Times New Roman"/>
          <w:bCs/>
          <w:color w:val="000000" w:themeColor="text1"/>
          <w:kern w:val="0"/>
          <w:sz w:val="28"/>
          <w:szCs w:val="28"/>
          <w14:textFill>
            <w14:solidFill>
              <w14:schemeClr w14:val="tx1"/>
            </w14:solidFill>
          </w14:textFill>
        </w:rPr>
      </w:pPr>
      <w:r>
        <w:rPr>
          <w:rFonts w:ascii="Times New Roman" w:hAnsi="Times New Roman" w:eastAsia="仿宋_GB2312" w:cs="Times New Roman"/>
          <w:bCs/>
          <w:color w:val="000000" w:themeColor="text1"/>
          <w:kern w:val="0"/>
          <w:sz w:val="28"/>
          <w:szCs w:val="28"/>
          <w14:textFill>
            <w14:solidFill>
              <w14:schemeClr w14:val="tx1"/>
            </w14:solidFill>
          </w14:textFill>
        </w:rPr>
        <w:t>强化</w:t>
      </w:r>
      <w:r>
        <w:rPr>
          <w:rFonts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14:textFill>
            <w14:solidFill>
              <w14:schemeClr w14:val="tx1"/>
            </w14:solidFill>
          </w14:textFill>
        </w:rPr>
        <w:t>规划纲要</w:t>
      </w:r>
      <w:r>
        <w:rPr>
          <w:rFonts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bCs/>
          <w:color w:val="000000" w:themeColor="text1"/>
          <w:kern w:val="0"/>
          <w:sz w:val="28"/>
          <w:szCs w:val="28"/>
          <w14:textFill>
            <w14:solidFill>
              <w14:schemeClr w14:val="tx1"/>
            </w14:solidFill>
          </w14:textFill>
        </w:rPr>
        <w:t>的龙头地位，与相关空间规划、专项规划共同形成定位清晰、功能互补、统一衔接的规划体系。积极推进县规划改革创新，健全规划衔接协调机制，</w:t>
      </w:r>
      <w:r>
        <w:rPr>
          <w:rFonts w:hint="eastAsia" w:ascii="Times New Roman" w:hAnsi="Times New Roman" w:eastAsia="仿宋_GB2312" w:cs="Times New Roman"/>
          <w:bCs/>
          <w:color w:val="000000" w:themeColor="text1"/>
          <w:kern w:val="0"/>
          <w:sz w:val="28"/>
          <w:szCs w:val="28"/>
          <w14:textFill>
            <w14:solidFill>
              <w14:schemeClr w14:val="tx1"/>
            </w14:solidFill>
          </w14:textFill>
        </w:rPr>
        <w:t>精简</w:t>
      </w:r>
      <w:r>
        <w:rPr>
          <w:rFonts w:ascii="Times New Roman" w:hAnsi="Times New Roman" w:eastAsia="仿宋_GB2312" w:cs="Times New Roman"/>
          <w:bCs/>
          <w:color w:val="000000" w:themeColor="text1"/>
          <w:kern w:val="0"/>
          <w:sz w:val="28"/>
          <w:szCs w:val="28"/>
          <w14:textFill>
            <w14:solidFill>
              <w14:schemeClr w14:val="tx1"/>
            </w14:solidFill>
          </w14:textFill>
        </w:rPr>
        <w:t>专项规划数量，推动国民经济和社会发展规划、国土空间规划、生态环境保护规划以及各类专项产业规划“多规融合”和“多规合一”，为形成一本规划、一张蓝图奠定基础。</w:t>
      </w:r>
    </w:p>
    <w:p>
      <w:pPr>
        <w:pStyle w:val="6"/>
        <w:keepNext w:val="0"/>
        <w:keepLines w:val="0"/>
        <w:pageBreakBefore w:val="0"/>
        <w:widowControl w:val="0"/>
        <w:kinsoku/>
        <w:wordWrap/>
        <w:overflowPunct/>
        <w:topLinePunct w:val="0"/>
        <w:autoSpaceDE/>
        <w:autoSpaceDN/>
        <w:bidi w:val="0"/>
        <w:spacing w:before="0" w:after="0" w:line="540" w:lineRule="exact"/>
        <w:ind w:firstLine="560" w:firstLineChars="200"/>
        <w:textAlignment w:val="auto"/>
        <w:rPr>
          <w:rFonts w:ascii="楷体_GB2312" w:hAnsi="楷体_GB2312" w:eastAsia="楷体_GB2312" w:cs="楷体_GB2312"/>
          <w:b w:val="0"/>
          <w:bCs w:val="0"/>
          <w:color w:val="000000" w:themeColor="text1"/>
          <w:sz w:val="28"/>
          <w:szCs w:val="28"/>
          <w14:textFill>
            <w14:solidFill>
              <w14:schemeClr w14:val="tx1"/>
            </w14:solidFill>
          </w14:textFill>
        </w:rPr>
      </w:pPr>
      <w:bookmarkStart w:id="283" w:name="_Toc8613"/>
      <w:bookmarkStart w:id="284" w:name="_Toc4628"/>
      <w:bookmarkStart w:id="285" w:name="_Toc2682"/>
      <w:bookmarkStart w:id="286" w:name="_Toc32741"/>
      <w:r>
        <w:rPr>
          <w:rFonts w:hint="eastAsia" w:ascii="楷体_GB2312" w:hAnsi="楷体_GB2312" w:eastAsia="楷体_GB2312" w:cs="楷体_GB2312"/>
          <w:b w:val="0"/>
          <w:bCs w:val="0"/>
          <w:color w:val="000000" w:themeColor="text1"/>
          <w:sz w:val="28"/>
          <w:szCs w:val="28"/>
          <w14:textFill>
            <w14:solidFill>
              <w14:schemeClr w14:val="tx1"/>
            </w14:solidFill>
          </w14:textFill>
        </w:rPr>
        <w:t>（二）</w:t>
      </w:r>
      <w:bookmarkEnd w:id="283"/>
      <w:bookmarkEnd w:id="284"/>
      <w:bookmarkEnd w:id="285"/>
      <w:r>
        <w:rPr>
          <w:rFonts w:hint="eastAsia" w:ascii="楷体_GB2312" w:hAnsi="楷体_GB2312" w:eastAsia="楷体_GB2312" w:cs="楷体_GB2312"/>
          <w:b w:val="0"/>
          <w:bCs w:val="0"/>
          <w:color w:val="000000" w:themeColor="text1"/>
          <w:sz w:val="28"/>
          <w:szCs w:val="28"/>
          <w:lang w:eastAsia="zh-CN"/>
          <w14:textFill>
            <w14:solidFill>
              <w14:schemeClr w14:val="tx1"/>
            </w14:solidFill>
          </w14:textFill>
        </w:rPr>
        <w:t>编制</w:t>
      </w:r>
      <w:r>
        <w:rPr>
          <w:rFonts w:hint="eastAsia" w:ascii="楷体_GB2312" w:hAnsi="楷体_GB2312" w:eastAsia="楷体_GB2312" w:cs="楷体_GB2312"/>
          <w:b w:val="0"/>
          <w:bCs w:val="0"/>
          <w:color w:val="000000" w:themeColor="text1"/>
          <w:sz w:val="28"/>
          <w:szCs w:val="28"/>
          <w14:textFill>
            <w14:solidFill>
              <w14:schemeClr w14:val="tx1"/>
            </w14:solidFill>
          </w14:textFill>
        </w:rPr>
        <w:t>专项规划</w:t>
      </w:r>
      <w:bookmarkEnd w:id="286"/>
    </w:p>
    <w:p>
      <w:pPr>
        <w:pStyle w:val="10"/>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Times New Roman" w:hAnsi="Times New Roman" w:eastAsia="仿宋_GB2312" w:cs="Times New Roman"/>
          <w:bCs/>
          <w:color w:val="000000" w:themeColor="text1"/>
          <w:kern w:val="0"/>
          <w:sz w:val="28"/>
          <w:szCs w:val="28"/>
          <w14:textFill>
            <w14:solidFill>
              <w14:schemeClr w14:val="tx1"/>
            </w14:solidFill>
          </w14:textFill>
        </w:rPr>
      </w:pPr>
      <w:r>
        <w:rPr>
          <w:rFonts w:ascii="仿宋_GB2312" w:hAnsi="仿宋_GB2312" w:eastAsia="仿宋_GB2312" w:cs="仿宋_GB2312"/>
          <w:color w:val="000000" w:themeColor="text1"/>
          <w:kern w:val="2"/>
          <w:sz w:val="28"/>
          <w:szCs w:val="28"/>
          <w14:textFill>
            <w14:solidFill>
              <w14:schemeClr w14:val="tx1"/>
            </w14:solidFill>
          </w14:textFill>
        </w:rPr>
        <w:t>各</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相关单位</w:t>
      </w:r>
      <w:r>
        <w:rPr>
          <w:rFonts w:ascii="Times New Roman" w:hAnsi="Times New Roman" w:eastAsia="仿宋_GB2312" w:cs="Times New Roman"/>
          <w:bCs/>
          <w:color w:val="000000" w:themeColor="text1"/>
          <w:kern w:val="0"/>
          <w:sz w:val="28"/>
          <w:szCs w:val="28"/>
          <w14:textFill>
            <w14:solidFill>
              <w14:schemeClr w14:val="tx1"/>
            </w14:solidFill>
          </w14:textFill>
        </w:rPr>
        <w:t>要根据</w:t>
      </w:r>
      <w:r>
        <w:rPr>
          <w:rFonts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14:textFill>
            <w14:solidFill>
              <w14:schemeClr w14:val="tx1"/>
            </w14:solidFill>
          </w14:textFill>
        </w:rPr>
        <w:t>规划纲要</w:t>
      </w:r>
      <w:r>
        <w:rPr>
          <w:rFonts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bCs/>
          <w:color w:val="000000" w:themeColor="text1"/>
          <w:kern w:val="0"/>
          <w:sz w:val="28"/>
          <w:szCs w:val="28"/>
          <w14:textFill>
            <w14:solidFill>
              <w14:schemeClr w14:val="tx1"/>
            </w14:solidFill>
          </w14:textFill>
        </w:rPr>
        <w:t>重点领域的发展任务和战略部署，做好专项规划编制实施工作。各专项规划要加强与</w:t>
      </w:r>
      <w:r>
        <w:rPr>
          <w:rFonts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14:textFill>
            <w14:solidFill>
              <w14:schemeClr w14:val="tx1"/>
            </w14:solidFill>
          </w14:textFill>
        </w:rPr>
        <w:t>规划纲要</w:t>
      </w:r>
      <w:r>
        <w:rPr>
          <w:rFonts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bCs/>
          <w:color w:val="000000" w:themeColor="text1"/>
          <w:kern w:val="0"/>
          <w:sz w:val="28"/>
          <w:szCs w:val="28"/>
          <w14:textFill>
            <w14:solidFill>
              <w14:schemeClr w14:val="tx1"/>
            </w14:solidFill>
          </w14:textFill>
        </w:rPr>
        <w:t>和重点专项规划的衔接</w:t>
      </w:r>
      <w:r>
        <w:rPr>
          <w:rFonts w:hint="eastAsia" w:ascii="Times New Roman" w:hAnsi="Times New Roman" w:eastAsia="仿宋_GB2312" w:cs="Times New Roman"/>
          <w:bCs/>
          <w:color w:val="000000" w:themeColor="text1"/>
          <w:kern w:val="0"/>
          <w:sz w:val="28"/>
          <w:szCs w:val="28"/>
          <w14:textFill>
            <w14:solidFill>
              <w14:schemeClr w14:val="tx1"/>
            </w14:solidFill>
          </w14:textFill>
        </w:rPr>
        <w:t>，尤其需要</w:t>
      </w:r>
      <w:r>
        <w:rPr>
          <w:rFonts w:ascii="Times New Roman" w:hAnsi="Times New Roman" w:eastAsia="仿宋_GB2312" w:cs="Times New Roman"/>
          <w:bCs/>
          <w:color w:val="000000" w:themeColor="text1"/>
          <w:kern w:val="0"/>
          <w:sz w:val="28"/>
          <w:szCs w:val="28"/>
          <w14:textFill>
            <w14:solidFill>
              <w14:schemeClr w14:val="tx1"/>
            </w14:solidFill>
          </w14:textFill>
        </w:rPr>
        <w:t>做好跨</w:t>
      </w:r>
      <w:r>
        <w:rPr>
          <w:rFonts w:hint="eastAsia" w:ascii="Times New Roman" w:hAnsi="Times New Roman" w:eastAsia="仿宋_GB2312" w:cs="Times New Roman"/>
          <w:bCs/>
          <w:color w:val="000000" w:themeColor="text1"/>
          <w:kern w:val="0"/>
          <w:sz w:val="28"/>
          <w:szCs w:val="28"/>
          <w14:textFill>
            <w14:solidFill>
              <w14:schemeClr w14:val="tx1"/>
            </w14:solidFill>
          </w14:textFill>
        </w:rPr>
        <w:t>“</w:t>
      </w:r>
      <w:r>
        <w:rPr>
          <w:rFonts w:ascii="Times New Roman" w:hAnsi="Times New Roman" w:eastAsia="仿宋_GB2312" w:cs="Times New Roman"/>
          <w:bCs/>
          <w:color w:val="000000" w:themeColor="text1"/>
          <w:kern w:val="0"/>
          <w:sz w:val="28"/>
          <w:szCs w:val="28"/>
          <w14:textFill>
            <w14:solidFill>
              <w14:schemeClr w14:val="tx1"/>
            </w14:solidFill>
          </w14:textFill>
        </w:rPr>
        <w:t>十</w:t>
      </w:r>
      <w:r>
        <w:rPr>
          <w:rFonts w:hint="eastAsia" w:ascii="Times New Roman" w:hAnsi="Times New Roman" w:eastAsia="仿宋_GB2312" w:cs="Times New Roman"/>
          <w:bCs/>
          <w:color w:val="000000" w:themeColor="text1"/>
          <w:kern w:val="0"/>
          <w:sz w:val="28"/>
          <w:szCs w:val="28"/>
          <w14:textFill>
            <w14:solidFill>
              <w14:schemeClr w14:val="tx1"/>
            </w14:solidFill>
          </w14:textFill>
        </w:rPr>
        <w:t>四</w:t>
      </w:r>
      <w:r>
        <w:rPr>
          <w:rFonts w:ascii="Times New Roman" w:hAnsi="Times New Roman" w:eastAsia="仿宋_GB2312" w:cs="Times New Roman"/>
          <w:bCs/>
          <w:color w:val="000000" w:themeColor="text1"/>
          <w:kern w:val="0"/>
          <w:sz w:val="28"/>
          <w:szCs w:val="28"/>
          <w14:textFill>
            <w14:solidFill>
              <w14:schemeClr w14:val="tx1"/>
            </w14:solidFill>
          </w14:textFill>
        </w:rPr>
        <w:t>五</w:t>
      </w:r>
      <w:r>
        <w:rPr>
          <w:rFonts w:hint="eastAsia" w:ascii="Times New Roman" w:hAnsi="Times New Roman" w:eastAsia="仿宋_GB2312" w:cs="Times New Roman"/>
          <w:bCs/>
          <w:color w:val="000000" w:themeColor="text1"/>
          <w:kern w:val="0"/>
          <w:sz w:val="28"/>
          <w:szCs w:val="28"/>
          <w14:textFill>
            <w14:solidFill>
              <w14:schemeClr w14:val="tx1"/>
            </w14:solidFill>
          </w14:textFill>
        </w:rPr>
        <w:t>”</w:t>
      </w:r>
      <w:r>
        <w:rPr>
          <w:rFonts w:ascii="Times New Roman" w:hAnsi="Times New Roman" w:eastAsia="仿宋_GB2312" w:cs="Times New Roman"/>
          <w:bCs/>
          <w:color w:val="000000" w:themeColor="text1"/>
          <w:kern w:val="0"/>
          <w:sz w:val="28"/>
          <w:szCs w:val="28"/>
          <w14:textFill>
            <w14:solidFill>
              <w14:schemeClr w14:val="tx1"/>
            </w14:solidFill>
          </w14:textFill>
        </w:rPr>
        <w:t>时期专项规划与</w:t>
      </w:r>
      <w:r>
        <w:rPr>
          <w:rFonts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14:textFill>
            <w14:solidFill>
              <w14:schemeClr w14:val="tx1"/>
            </w14:solidFill>
          </w14:textFill>
        </w:rPr>
        <w:t>规划纲要</w:t>
      </w:r>
      <w:r>
        <w:rPr>
          <w:rFonts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bCs/>
          <w:color w:val="000000" w:themeColor="text1"/>
          <w:kern w:val="0"/>
          <w:sz w:val="28"/>
          <w:szCs w:val="28"/>
          <w14:textFill>
            <w14:solidFill>
              <w14:schemeClr w14:val="tx1"/>
            </w14:solidFill>
          </w14:textFill>
        </w:rPr>
        <w:t>的衔接工作。</w:t>
      </w:r>
    </w:p>
    <w:p>
      <w:pPr>
        <w:pStyle w:val="6"/>
        <w:keepNext w:val="0"/>
        <w:keepLines w:val="0"/>
        <w:pageBreakBefore w:val="0"/>
        <w:widowControl w:val="0"/>
        <w:kinsoku/>
        <w:wordWrap/>
        <w:overflowPunct/>
        <w:topLinePunct w:val="0"/>
        <w:autoSpaceDE/>
        <w:autoSpaceDN/>
        <w:bidi w:val="0"/>
        <w:spacing w:before="0" w:after="0" w:line="540" w:lineRule="exact"/>
        <w:ind w:firstLine="560" w:firstLineChars="200"/>
        <w:textAlignment w:val="auto"/>
        <w:rPr>
          <w:rFonts w:ascii="楷体_GB2312" w:hAnsi="楷体_GB2312" w:eastAsia="楷体_GB2312" w:cs="楷体_GB2312"/>
          <w:b w:val="0"/>
          <w:bCs w:val="0"/>
          <w:color w:val="000000" w:themeColor="text1"/>
          <w:sz w:val="28"/>
          <w:szCs w:val="28"/>
          <w14:textFill>
            <w14:solidFill>
              <w14:schemeClr w14:val="tx1"/>
            </w14:solidFill>
          </w14:textFill>
        </w:rPr>
      </w:pPr>
      <w:bookmarkStart w:id="287" w:name="_Toc30425"/>
      <w:bookmarkStart w:id="288" w:name="_Toc30742"/>
      <w:bookmarkStart w:id="289" w:name="_Toc31756"/>
      <w:bookmarkStart w:id="290" w:name="_Toc26029"/>
      <w:r>
        <w:rPr>
          <w:rFonts w:hint="eastAsia" w:ascii="楷体_GB2312" w:hAnsi="楷体_GB2312" w:eastAsia="楷体_GB2312" w:cs="楷体_GB2312"/>
          <w:b w:val="0"/>
          <w:bCs w:val="0"/>
          <w:color w:val="000000" w:themeColor="text1"/>
          <w:sz w:val="28"/>
          <w:szCs w:val="28"/>
          <w14:textFill>
            <w14:solidFill>
              <w14:schemeClr w14:val="tx1"/>
            </w14:solidFill>
          </w14:textFill>
        </w:rPr>
        <w:t>（三）纳入年度计划</w:t>
      </w:r>
      <w:bookmarkEnd w:id="287"/>
      <w:bookmarkEnd w:id="288"/>
      <w:bookmarkEnd w:id="289"/>
      <w:bookmarkEnd w:id="290"/>
    </w:p>
    <w:p>
      <w:pPr>
        <w:pStyle w:val="10"/>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Arial" w:hAnsi="Arial" w:cs="Arial"/>
          <w:color w:val="000000" w:themeColor="text1"/>
          <w:sz w:val="28"/>
          <w:szCs w:val="28"/>
          <w14:textFill>
            <w14:solidFill>
              <w14:schemeClr w14:val="tx1"/>
            </w14:solidFill>
          </w14:textFill>
        </w:rPr>
      </w:pPr>
      <w:r>
        <w:rPr>
          <w:rFonts w:ascii="仿宋_GB2312" w:hAnsi="仿宋_GB2312" w:eastAsia="仿宋_GB2312" w:cs="仿宋_GB2312"/>
          <w:color w:val="000000" w:themeColor="text1"/>
          <w:kern w:val="2"/>
          <w:sz w:val="28"/>
          <w:szCs w:val="28"/>
          <w14:textFill>
            <w14:solidFill>
              <w14:schemeClr w14:val="tx1"/>
            </w14:solidFill>
          </w14:textFill>
        </w:rPr>
        <w:t>各</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相关单位</w:t>
      </w:r>
      <w:r>
        <w:rPr>
          <w:rFonts w:ascii="Times New Roman" w:hAnsi="Times New Roman" w:eastAsia="仿宋_GB2312" w:cs="Times New Roman"/>
          <w:bCs/>
          <w:color w:val="000000" w:themeColor="text1"/>
          <w:kern w:val="0"/>
          <w:sz w:val="28"/>
          <w:szCs w:val="28"/>
          <w14:textFill>
            <w14:solidFill>
              <w14:schemeClr w14:val="tx1"/>
            </w14:solidFill>
          </w14:textFill>
        </w:rPr>
        <w:t>要将《</w:t>
      </w:r>
      <w:r>
        <w:rPr>
          <w:rFonts w:hint="eastAsia" w:ascii="Times New Roman" w:hAnsi="Times New Roman" w:eastAsia="仿宋_GB2312" w:cs="Times New Roman"/>
          <w:bCs/>
          <w:color w:val="000000" w:themeColor="text1"/>
          <w:kern w:val="0"/>
          <w:sz w:val="28"/>
          <w:szCs w:val="28"/>
          <w14:textFill>
            <w14:solidFill>
              <w14:schemeClr w14:val="tx1"/>
            </w14:solidFill>
          </w14:textFill>
        </w:rPr>
        <w:t>规划</w:t>
      </w:r>
      <w:r>
        <w:rPr>
          <w:rFonts w:ascii="Times New Roman" w:hAnsi="Times New Roman" w:eastAsia="仿宋_GB2312" w:cs="Times New Roman"/>
          <w:bCs/>
          <w:color w:val="000000" w:themeColor="text1"/>
          <w:kern w:val="0"/>
          <w:sz w:val="28"/>
          <w:szCs w:val="28"/>
          <w14:textFill>
            <w14:solidFill>
              <w14:schemeClr w14:val="tx1"/>
            </w14:solidFill>
          </w14:textFill>
        </w:rPr>
        <w:t>纲要》提出的主要指标纳入年度计划指标体系，并</w:t>
      </w:r>
      <w:r>
        <w:rPr>
          <w:rFonts w:ascii="Times New Roman" w:hAnsi="Times New Roman" w:eastAsia="仿宋_GB2312" w:cs="Times New Roman"/>
          <w:bCs/>
          <w:color w:val="000000" w:themeColor="text1"/>
          <w:spacing w:val="-6"/>
          <w:kern w:val="0"/>
          <w:sz w:val="28"/>
          <w:szCs w:val="28"/>
          <w14:textFill>
            <w14:solidFill>
              <w14:schemeClr w14:val="tx1"/>
            </w14:solidFill>
          </w14:textFill>
        </w:rPr>
        <w:t>做好年度间综合平衡。《</w:t>
      </w:r>
      <w:r>
        <w:rPr>
          <w:rFonts w:hint="eastAsia" w:ascii="Times New Roman" w:hAnsi="Times New Roman" w:eastAsia="仿宋_GB2312" w:cs="Times New Roman"/>
          <w:bCs/>
          <w:color w:val="000000" w:themeColor="text1"/>
          <w:spacing w:val="-6"/>
          <w:kern w:val="0"/>
          <w:sz w:val="28"/>
          <w:szCs w:val="28"/>
          <w14:textFill>
            <w14:solidFill>
              <w14:schemeClr w14:val="tx1"/>
            </w14:solidFill>
          </w14:textFill>
        </w:rPr>
        <w:t>规划</w:t>
      </w:r>
      <w:r>
        <w:rPr>
          <w:rFonts w:ascii="Times New Roman" w:hAnsi="Times New Roman" w:eastAsia="仿宋_GB2312" w:cs="Times New Roman"/>
          <w:bCs/>
          <w:color w:val="000000" w:themeColor="text1"/>
          <w:spacing w:val="-6"/>
          <w:kern w:val="0"/>
          <w:sz w:val="28"/>
          <w:szCs w:val="28"/>
          <w14:textFill>
            <w14:solidFill>
              <w14:schemeClr w14:val="tx1"/>
            </w14:solidFill>
          </w14:textFill>
        </w:rPr>
        <w:t>纲要》主要指标的年度实现情况以及上一年度《</w:t>
      </w:r>
      <w:r>
        <w:rPr>
          <w:rFonts w:hint="eastAsia" w:ascii="Times New Roman" w:hAnsi="Times New Roman" w:eastAsia="仿宋_GB2312" w:cs="Times New Roman"/>
          <w:bCs/>
          <w:color w:val="000000" w:themeColor="text1"/>
          <w:spacing w:val="-6"/>
          <w:kern w:val="0"/>
          <w:sz w:val="28"/>
          <w:szCs w:val="28"/>
          <w14:textFill>
            <w14:solidFill>
              <w14:schemeClr w14:val="tx1"/>
            </w14:solidFill>
          </w14:textFill>
        </w:rPr>
        <w:t>规划纲要</w:t>
      </w:r>
      <w:r>
        <w:rPr>
          <w:rFonts w:ascii="Times New Roman" w:hAnsi="Times New Roman" w:eastAsia="仿宋_GB2312" w:cs="Times New Roman"/>
          <w:bCs/>
          <w:color w:val="000000" w:themeColor="text1"/>
          <w:spacing w:val="-6"/>
          <w:kern w:val="0"/>
          <w:sz w:val="28"/>
          <w:szCs w:val="28"/>
          <w14:textFill>
            <w14:solidFill>
              <w14:schemeClr w14:val="tx1"/>
            </w14:solidFill>
          </w14:textFill>
        </w:rPr>
        <w:t>》总体执行情况和下一年度实施重点，都要纳入年度计划报告。</w:t>
      </w:r>
    </w:p>
    <w:p>
      <w:pPr>
        <w:pStyle w:val="5"/>
        <w:keepNext w:val="0"/>
        <w:keepLines w:val="0"/>
        <w:pageBreakBefore w:val="0"/>
        <w:widowControl w:val="0"/>
        <w:kinsoku/>
        <w:wordWrap/>
        <w:overflowPunct/>
        <w:topLinePunct w:val="0"/>
        <w:autoSpaceDE/>
        <w:autoSpaceDN/>
        <w:bidi w:val="0"/>
        <w:spacing w:before="0" w:after="0" w:line="540" w:lineRule="exact"/>
        <w:ind w:firstLine="560" w:firstLineChars="200"/>
        <w:textAlignment w:val="auto"/>
        <w:rPr>
          <w:rFonts w:ascii="黑体" w:hAnsi="黑体" w:eastAsia="黑体"/>
          <w:b w:val="0"/>
          <w:bCs w:val="0"/>
          <w:color w:val="000000" w:themeColor="text1"/>
          <w:sz w:val="28"/>
          <w:szCs w:val="28"/>
          <w14:textFill>
            <w14:solidFill>
              <w14:schemeClr w14:val="tx1"/>
            </w14:solidFill>
          </w14:textFill>
        </w:rPr>
      </w:pPr>
      <w:bookmarkStart w:id="291" w:name="_Toc1610"/>
      <w:bookmarkStart w:id="292" w:name="_Toc4528"/>
      <w:bookmarkStart w:id="293" w:name="_Toc818"/>
      <w:bookmarkStart w:id="294" w:name="_Toc1960"/>
      <w:bookmarkStart w:id="295" w:name="_Toc12644"/>
      <w:r>
        <w:rPr>
          <w:rFonts w:hint="eastAsia" w:ascii="黑体" w:hAnsi="黑体" w:eastAsia="黑体"/>
          <w:b w:val="0"/>
          <w:bCs w:val="0"/>
          <w:color w:val="000000" w:themeColor="text1"/>
          <w:sz w:val="28"/>
          <w:szCs w:val="28"/>
          <w14:textFill>
            <w14:solidFill>
              <w14:schemeClr w14:val="tx1"/>
            </w14:solidFill>
          </w14:textFill>
        </w:rPr>
        <w:t>三、强化实施监测评估</w:t>
      </w:r>
      <w:bookmarkEnd w:id="291"/>
      <w:bookmarkEnd w:id="292"/>
      <w:bookmarkEnd w:id="293"/>
      <w:bookmarkEnd w:id="294"/>
      <w:bookmarkEnd w:id="295"/>
    </w:p>
    <w:p>
      <w:pPr>
        <w:pStyle w:val="6"/>
        <w:keepNext w:val="0"/>
        <w:keepLines w:val="0"/>
        <w:pageBreakBefore w:val="0"/>
        <w:widowControl w:val="0"/>
        <w:kinsoku/>
        <w:wordWrap/>
        <w:overflowPunct/>
        <w:topLinePunct w:val="0"/>
        <w:autoSpaceDE/>
        <w:autoSpaceDN/>
        <w:bidi w:val="0"/>
        <w:spacing w:before="0" w:after="0" w:line="540" w:lineRule="exact"/>
        <w:ind w:firstLine="560" w:firstLineChars="200"/>
        <w:textAlignment w:val="auto"/>
        <w:rPr>
          <w:rFonts w:ascii="楷体_GB2312" w:hAnsi="楷体_GB2312" w:eastAsia="楷体_GB2312" w:cs="楷体_GB2312"/>
          <w:b w:val="0"/>
          <w:bCs w:val="0"/>
          <w:color w:val="000000" w:themeColor="text1"/>
          <w:sz w:val="28"/>
          <w:szCs w:val="28"/>
          <w14:textFill>
            <w14:solidFill>
              <w14:schemeClr w14:val="tx1"/>
            </w14:solidFill>
          </w14:textFill>
        </w:rPr>
      </w:pPr>
      <w:bookmarkStart w:id="296" w:name="_Toc17991"/>
      <w:bookmarkStart w:id="297" w:name="_Toc26663"/>
      <w:bookmarkStart w:id="298" w:name="_Toc1535"/>
      <w:bookmarkStart w:id="299" w:name="_Toc9582"/>
      <w:r>
        <w:rPr>
          <w:rFonts w:hint="eastAsia" w:ascii="楷体_GB2312" w:hAnsi="楷体_GB2312" w:eastAsia="楷体_GB2312" w:cs="楷体_GB2312"/>
          <w:b w:val="0"/>
          <w:bCs w:val="0"/>
          <w:color w:val="000000" w:themeColor="text1"/>
          <w:sz w:val="28"/>
          <w:szCs w:val="28"/>
          <w14:textFill>
            <w14:solidFill>
              <w14:schemeClr w14:val="tx1"/>
            </w14:solidFill>
          </w14:textFill>
        </w:rPr>
        <w:t>（一）加强动态监测分析</w:t>
      </w:r>
      <w:bookmarkEnd w:id="296"/>
      <w:bookmarkEnd w:id="297"/>
      <w:bookmarkEnd w:id="298"/>
      <w:bookmarkEnd w:id="299"/>
    </w:p>
    <w:p>
      <w:pPr>
        <w:pStyle w:val="10"/>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Times New Roman" w:hAnsi="Times New Roman" w:eastAsia="仿宋_GB2312" w:cs="Times New Roman"/>
          <w:bCs/>
          <w:color w:val="000000" w:themeColor="text1"/>
          <w:kern w:val="0"/>
          <w:sz w:val="28"/>
          <w:szCs w:val="28"/>
          <w14:textFill>
            <w14:solidFill>
              <w14:schemeClr w14:val="tx1"/>
            </w14:solidFill>
          </w14:textFill>
        </w:rPr>
      </w:pPr>
      <w:r>
        <w:rPr>
          <w:rFonts w:ascii="Times New Roman" w:hAnsi="Times New Roman" w:eastAsia="仿宋_GB2312" w:cs="Times New Roman"/>
          <w:bCs/>
          <w:color w:val="000000" w:themeColor="text1"/>
          <w:kern w:val="0"/>
          <w:sz w:val="28"/>
          <w:szCs w:val="28"/>
          <w14:textFill>
            <w14:solidFill>
              <w14:schemeClr w14:val="tx1"/>
            </w14:solidFill>
          </w14:textFill>
        </w:rPr>
        <w:t>密切跟踪国内外形势变化，根据需要适时调整《</w:t>
      </w:r>
      <w:r>
        <w:rPr>
          <w:rFonts w:hint="eastAsia" w:ascii="Times New Roman" w:hAnsi="Times New Roman" w:eastAsia="仿宋_GB2312" w:cs="Times New Roman"/>
          <w:bCs/>
          <w:color w:val="000000" w:themeColor="text1"/>
          <w:kern w:val="0"/>
          <w:sz w:val="28"/>
          <w:szCs w:val="28"/>
          <w14:textFill>
            <w14:solidFill>
              <w14:schemeClr w14:val="tx1"/>
            </w14:solidFill>
          </w14:textFill>
        </w:rPr>
        <w:t>规划</w:t>
      </w:r>
      <w:r>
        <w:rPr>
          <w:rFonts w:ascii="Times New Roman" w:hAnsi="Times New Roman" w:eastAsia="仿宋_GB2312" w:cs="Times New Roman"/>
          <w:bCs/>
          <w:color w:val="000000" w:themeColor="text1"/>
          <w:kern w:val="0"/>
          <w:sz w:val="28"/>
          <w:szCs w:val="28"/>
          <w14:textFill>
            <w14:solidFill>
              <w14:schemeClr w14:val="tx1"/>
            </w14:solidFill>
          </w14:textFill>
        </w:rPr>
        <w:t>纲要》实施重点、政策举措及保障机制。加大对困难</w:t>
      </w:r>
      <w:r>
        <w:rPr>
          <w:rFonts w:hint="eastAsia" w:ascii="Times New Roman" w:hAnsi="Times New Roman" w:eastAsia="仿宋_GB2312" w:cs="Times New Roman"/>
          <w:bCs/>
          <w:color w:val="000000" w:themeColor="text1"/>
          <w:kern w:val="0"/>
          <w:sz w:val="28"/>
          <w:szCs w:val="28"/>
          <w:lang w:eastAsia="zh-CN"/>
          <w14:textFill>
            <w14:solidFill>
              <w14:schemeClr w14:val="tx1"/>
            </w14:solidFill>
          </w14:textFill>
        </w:rPr>
        <w:t>镇</w:t>
      </w:r>
      <w:r>
        <w:rPr>
          <w:rFonts w:ascii="Times New Roman" w:hAnsi="Times New Roman" w:eastAsia="仿宋_GB2312" w:cs="Times New Roman"/>
          <w:bCs/>
          <w:color w:val="000000" w:themeColor="text1"/>
          <w:kern w:val="0"/>
          <w:sz w:val="28"/>
          <w:szCs w:val="28"/>
          <w14:textFill>
            <w14:solidFill>
              <w14:schemeClr w14:val="tx1"/>
            </w14:solidFill>
          </w14:textFill>
        </w:rPr>
        <w:t>、薄弱环节的支持力度。针对可能存在风险的地区和重点领域，制定工作预案，防范系统性风险滋生蔓延。</w:t>
      </w:r>
    </w:p>
    <w:p>
      <w:pPr>
        <w:pStyle w:val="6"/>
        <w:keepNext w:val="0"/>
        <w:keepLines w:val="0"/>
        <w:pageBreakBefore w:val="0"/>
        <w:widowControl w:val="0"/>
        <w:kinsoku/>
        <w:wordWrap/>
        <w:overflowPunct/>
        <w:topLinePunct w:val="0"/>
        <w:autoSpaceDE/>
        <w:autoSpaceDN/>
        <w:bidi w:val="0"/>
        <w:spacing w:before="0" w:after="0" w:line="540" w:lineRule="exact"/>
        <w:ind w:firstLine="560" w:firstLineChars="200"/>
        <w:textAlignment w:val="auto"/>
        <w:rPr>
          <w:rFonts w:ascii="楷体_GB2312" w:hAnsi="楷体_GB2312" w:eastAsia="楷体_GB2312" w:cs="楷体_GB2312"/>
          <w:b w:val="0"/>
          <w:bCs w:val="0"/>
          <w:color w:val="000000" w:themeColor="text1"/>
          <w:sz w:val="28"/>
          <w:szCs w:val="28"/>
          <w14:textFill>
            <w14:solidFill>
              <w14:schemeClr w14:val="tx1"/>
            </w14:solidFill>
          </w14:textFill>
        </w:rPr>
      </w:pPr>
      <w:bookmarkStart w:id="300" w:name="_Toc12782"/>
      <w:bookmarkStart w:id="301" w:name="_Toc6577"/>
      <w:bookmarkStart w:id="302" w:name="_Toc11630"/>
      <w:bookmarkStart w:id="303" w:name="_Toc25250"/>
      <w:r>
        <w:rPr>
          <w:rFonts w:hint="eastAsia" w:ascii="楷体_GB2312" w:hAnsi="楷体_GB2312" w:eastAsia="楷体_GB2312" w:cs="楷体_GB2312"/>
          <w:b w:val="0"/>
          <w:bCs w:val="0"/>
          <w:color w:val="000000" w:themeColor="text1"/>
          <w:sz w:val="28"/>
          <w:szCs w:val="28"/>
          <w14:textFill>
            <w14:solidFill>
              <w14:schemeClr w14:val="tx1"/>
            </w14:solidFill>
          </w14:textFill>
        </w:rPr>
        <w:t>（二）建立年度监测评估机制</w:t>
      </w:r>
      <w:bookmarkEnd w:id="300"/>
      <w:bookmarkEnd w:id="301"/>
      <w:bookmarkEnd w:id="302"/>
      <w:bookmarkEnd w:id="303"/>
    </w:p>
    <w:p>
      <w:pPr>
        <w:pStyle w:val="10"/>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Times New Roman" w:hAnsi="Times New Roman" w:eastAsia="仿宋_GB2312" w:cs="Times New Roman"/>
          <w:bCs/>
          <w:color w:val="000000" w:themeColor="text1"/>
          <w:kern w:val="0"/>
          <w:sz w:val="28"/>
          <w:szCs w:val="28"/>
          <w14:textFill>
            <w14:solidFill>
              <w14:schemeClr w14:val="tx1"/>
            </w14:solidFill>
          </w14:textFill>
        </w:rPr>
      </w:pPr>
      <w:r>
        <w:rPr>
          <w:rFonts w:ascii="Times New Roman" w:hAnsi="Times New Roman" w:eastAsia="仿宋_GB2312" w:cs="Times New Roman"/>
          <w:bCs/>
          <w:color w:val="000000" w:themeColor="text1"/>
          <w:kern w:val="0"/>
          <w:sz w:val="28"/>
          <w:szCs w:val="28"/>
          <w14:textFill>
            <w14:solidFill>
              <w14:schemeClr w14:val="tx1"/>
            </w14:solidFill>
          </w14:textFill>
        </w:rPr>
        <w:t>建立《</w:t>
      </w:r>
      <w:r>
        <w:rPr>
          <w:rFonts w:hint="eastAsia" w:ascii="Times New Roman" w:hAnsi="Times New Roman" w:eastAsia="仿宋_GB2312" w:cs="Times New Roman"/>
          <w:bCs/>
          <w:color w:val="000000" w:themeColor="text1"/>
          <w:kern w:val="0"/>
          <w:sz w:val="28"/>
          <w:szCs w:val="28"/>
          <w14:textFill>
            <w14:solidFill>
              <w14:schemeClr w14:val="tx1"/>
            </w14:solidFill>
          </w14:textFill>
        </w:rPr>
        <w:t>规划纲要</w:t>
      </w:r>
      <w:r>
        <w:rPr>
          <w:rFonts w:ascii="Times New Roman" w:hAnsi="Times New Roman" w:eastAsia="仿宋_GB2312" w:cs="Times New Roman"/>
          <w:bCs/>
          <w:color w:val="000000" w:themeColor="text1"/>
          <w:kern w:val="0"/>
          <w:sz w:val="28"/>
          <w:szCs w:val="28"/>
          <w14:textFill>
            <w14:solidFill>
              <w14:schemeClr w14:val="tx1"/>
            </w14:solidFill>
          </w14:textFill>
        </w:rPr>
        <w:t>》跨年度滚动实施机制，组织开展重点任务实施情况年度评估并向</w:t>
      </w:r>
      <w:r>
        <w:rPr>
          <w:rFonts w:hint="eastAsia" w:ascii="Times New Roman" w:hAnsi="Times New Roman" w:eastAsia="仿宋_GB2312" w:cs="Times New Roman"/>
          <w:bCs/>
          <w:color w:val="000000" w:themeColor="text1"/>
          <w:kern w:val="0"/>
          <w:sz w:val="28"/>
          <w:szCs w:val="28"/>
          <w14:textFill>
            <w14:solidFill>
              <w14:schemeClr w14:val="tx1"/>
            </w14:solidFill>
          </w14:textFill>
        </w:rPr>
        <w:t>政府</w:t>
      </w:r>
      <w:r>
        <w:rPr>
          <w:rFonts w:ascii="Times New Roman" w:hAnsi="Times New Roman" w:eastAsia="仿宋_GB2312" w:cs="Times New Roman"/>
          <w:bCs/>
          <w:color w:val="000000" w:themeColor="text1"/>
          <w:kern w:val="0"/>
          <w:sz w:val="28"/>
          <w:szCs w:val="28"/>
          <w14:textFill>
            <w14:solidFill>
              <w14:schemeClr w14:val="tx1"/>
            </w14:solidFill>
          </w14:textFill>
        </w:rPr>
        <w:t>报告。各有关部门要针对本领域重点问题，适时开展专项评估。逐步将重点专项规划、</w:t>
      </w:r>
      <w:r>
        <w:rPr>
          <w:rFonts w:hint="eastAsia" w:ascii="Times New Roman" w:hAnsi="Times New Roman" w:eastAsia="仿宋_GB2312" w:cs="Times New Roman"/>
          <w:bCs/>
          <w:color w:val="000000" w:themeColor="text1"/>
          <w:kern w:val="0"/>
          <w:sz w:val="28"/>
          <w:szCs w:val="28"/>
          <w:lang w:eastAsia="zh-CN"/>
          <w14:textFill>
            <w14:solidFill>
              <w14:schemeClr w14:val="tx1"/>
            </w14:solidFill>
          </w14:textFill>
        </w:rPr>
        <w:t>镇</w:t>
      </w:r>
      <w:r>
        <w:rPr>
          <w:rFonts w:ascii="Times New Roman" w:hAnsi="Times New Roman" w:eastAsia="仿宋_GB2312" w:cs="Times New Roman"/>
          <w:bCs/>
          <w:color w:val="000000" w:themeColor="text1"/>
          <w:kern w:val="0"/>
          <w:sz w:val="28"/>
          <w:szCs w:val="28"/>
          <w14:textFill>
            <w14:solidFill>
              <w14:schemeClr w14:val="tx1"/>
            </w14:solidFill>
          </w14:textFill>
        </w:rPr>
        <w:t>区域规划等各类规划实施情况纳入年度监测评估范围。</w:t>
      </w:r>
    </w:p>
    <w:p>
      <w:pPr>
        <w:pStyle w:val="6"/>
        <w:keepNext w:val="0"/>
        <w:keepLines w:val="0"/>
        <w:pageBreakBefore w:val="0"/>
        <w:widowControl w:val="0"/>
        <w:kinsoku/>
        <w:wordWrap/>
        <w:overflowPunct/>
        <w:topLinePunct w:val="0"/>
        <w:autoSpaceDE/>
        <w:autoSpaceDN/>
        <w:bidi w:val="0"/>
        <w:spacing w:before="0" w:after="0" w:line="540" w:lineRule="exact"/>
        <w:ind w:firstLine="560" w:firstLineChars="200"/>
        <w:textAlignment w:val="auto"/>
        <w:rPr>
          <w:rFonts w:ascii="楷体_GB2312" w:hAnsi="楷体_GB2312" w:eastAsia="楷体_GB2312" w:cs="楷体_GB2312"/>
          <w:b w:val="0"/>
          <w:bCs w:val="0"/>
          <w:color w:val="000000" w:themeColor="text1"/>
          <w:sz w:val="28"/>
          <w:szCs w:val="28"/>
          <w14:textFill>
            <w14:solidFill>
              <w14:schemeClr w14:val="tx1"/>
            </w14:solidFill>
          </w14:textFill>
        </w:rPr>
      </w:pPr>
      <w:bookmarkStart w:id="304" w:name="_Toc11206"/>
      <w:bookmarkStart w:id="305" w:name="_Toc19858"/>
      <w:bookmarkStart w:id="306" w:name="_Toc7785"/>
      <w:bookmarkStart w:id="307" w:name="_Toc15128"/>
      <w:r>
        <w:rPr>
          <w:rFonts w:hint="eastAsia" w:ascii="楷体_GB2312" w:hAnsi="楷体_GB2312" w:eastAsia="楷体_GB2312" w:cs="楷体_GB2312"/>
          <w:b w:val="0"/>
          <w:bCs w:val="0"/>
          <w:color w:val="000000" w:themeColor="text1"/>
          <w:sz w:val="28"/>
          <w:szCs w:val="28"/>
          <w14:textFill>
            <w14:solidFill>
              <w14:schemeClr w14:val="tx1"/>
            </w14:solidFill>
          </w14:textFill>
        </w:rPr>
        <w:t>（三）完善</w:t>
      </w:r>
      <w:r>
        <w:rPr>
          <w:rFonts w:hint="eastAsia" w:ascii="楷体_GB2312" w:hAnsi="楷体_GB2312" w:eastAsia="楷体_GB2312" w:cs="楷体_GB2312"/>
          <w:b w:val="0"/>
          <w:bCs w:val="0"/>
          <w:color w:val="000000" w:themeColor="text1"/>
          <w:sz w:val="28"/>
          <w:szCs w:val="28"/>
          <w:lang w:eastAsia="zh-CN"/>
          <w14:textFill>
            <w14:solidFill>
              <w14:schemeClr w14:val="tx1"/>
            </w14:solidFill>
          </w14:textFill>
        </w:rPr>
        <w:t>中期终</w:t>
      </w:r>
      <w:r>
        <w:rPr>
          <w:rFonts w:hint="eastAsia" w:ascii="楷体_GB2312" w:hAnsi="楷体_GB2312" w:eastAsia="楷体_GB2312" w:cs="楷体_GB2312"/>
          <w:b w:val="0"/>
          <w:bCs w:val="0"/>
          <w:color w:val="000000" w:themeColor="text1"/>
          <w:sz w:val="28"/>
          <w:szCs w:val="28"/>
          <w14:textFill>
            <w14:solidFill>
              <w14:schemeClr w14:val="tx1"/>
            </w14:solidFill>
          </w14:textFill>
        </w:rPr>
        <w:t>期评估机制</w:t>
      </w:r>
      <w:bookmarkEnd w:id="304"/>
      <w:bookmarkEnd w:id="305"/>
      <w:bookmarkEnd w:id="306"/>
      <w:bookmarkEnd w:id="307"/>
    </w:p>
    <w:p>
      <w:pPr>
        <w:pStyle w:val="10"/>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Times New Roman" w:hAnsi="Times New Roman" w:eastAsia="仿宋_GB2312" w:cs="Times New Roman"/>
          <w:bCs/>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县政府适时组织规划实施中期</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和终期</w:t>
      </w:r>
      <w:r>
        <w:rPr>
          <w:rFonts w:ascii="Times New Roman" w:hAnsi="Times New Roman" w:eastAsia="仿宋_GB2312" w:cs="Times New Roman"/>
          <w:color w:val="000000" w:themeColor="text1"/>
          <w:sz w:val="28"/>
          <w:szCs w:val="28"/>
          <w14:textFill>
            <w14:solidFill>
              <w14:schemeClr w14:val="tx1"/>
            </w14:solidFill>
          </w14:textFill>
        </w:rPr>
        <w:t>评估，评估报告提交县人大常委会审议；</w:t>
      </w:r>
      <w:r>
        <w:rPr>
          <w:rFonts w:ascii="Times New Roman" w:hAnsi="Times New Roman" w:eastAsia="仿宋_GB2312" w:cs="Times New Roman"/>
          <w:bCs/>
          <w:color w:val="000000" w:themeColor="text1"/>
          <w:kern w:val="0"/>
          <w:sz w:val="28"/>
          <w:szCs w:val="28"/>
          <w14:textFill>
            <w14:solidFill>
              <w14:schemeClr w14:val="tx1"/>
            </w14:solidFill>
          </w14:textFill>
        </w:rPr>
        <w:t>《</w:t>
      </w:r>
      <w:r>
        <w:rPr>
          <w:rFonts w:hint="eastAsia" w:ascii="Times New Roman" w:hAnsi="Times New Roman" w:eastAsia="仿宋_GB2312" w:cs="Times New Roman"/>
          <w:bCs/>
          <w:color w:val="000000" w:themeColor="text1"/>
          <w:kern w:val="0"/>
          <w:sz w:val="28"/>
          <w:szCs w:val="28"/>
          <w14:textFill>
            <w14:solidFill>
              <w14:schemeClr w14:val="tx1"/>
            </w14:solidFill>
          </w14:textFill>
        </w:rPr>
        <w:t>规划纲要</w:t>
      </w:r>
      <w:r>
        <w:rPr>
          <w:rFonts w:ascii="Times New Roman" w:hAnsi="Times New Roman" w:eastAsia="仿宋_GB2312" w:cs="Times New Roman"/>
          <w:bCs/>
          <w:color w:val="000000" w:themeColor="text1"/>
          <w:kern w:val="0"/>
          <w:sz w:val="28"/>
          <w:szCs w:val="28"/>
          <w14:textFill>
            <w14:solidFill>
              <w14:schemeClr w14:val="tx1"/>
            </w14:solidFill>
          </w14:textFill>
        </w:rPr>
        <w:t>》中期评估和</w:t>
      </w:r>
      <w:r>
        <w:rPr>
          <w:rFonts w:hint="eastAsia" w:ascii="Times New Roman" w:hAnsi="Times New Roman" w:eastAsia="仿宋_GB2312" w:cs="Times New Roman"/>
          <w:bCs/>
          <w:color w:val="000000" w:themeColor="text1"/>
          <w:kern w:val="0"/>
          <w:sz w:val="28"/>
          <w:szCs w:val="28"/>
          <w14:textFill>
            <w14:solidFill>
              <w14:schemeClr w14:val="tx1"/>
            </w14:solidFill>
          </w14:textFill>
        </w:rPr>
        <w:t>终期</w:t>
      </w:r>
      <w:r>
        <w:rPr>
          <w:rFonts w:ascii="Times New Roman" w:hAnsi="Times New Roman" w:eastAsia="仿宋_GB2312" w:cs="Times New Roman"/>
          <w:bCs/>
          <w:color w:val="000000" w:themeColor="text1"/>
          <w:kern w:val="0"/>
          <w:sz w:val="28"/>
          <w:szCs w:val="28"/>
          <w14:textFill>
            <w14:solidFill>
              <w14:schemeClr w14:val="tx1"/>
            </w14:solidFill>
          </w14:textFill>
        </w:rPr>
        <w:t>评估结果要按程序报批</w:t>
      </w:r>
      <w:r>
        <w:rPr>
          <w:rFonts w:hint="eastAsia" w:ascii="Times New Roman" w:hAnsi="Times New Roman" w:eastAsia="仿宋_GB2312" w:cs="Times New Roman"/>
          <w:bCs/>
          <w:color w:val="000000" w:themeColor="text1"/>
          <w:kern w:val="0"/>
          <w:sz w:val="28"/>
          <w:szCs w:val="28"/>
          <w14:textFill>
            <w14:solidFill>
              <w14:schemeClr w14:val="tx1"/>
            </w14:solidFill>
          </w14:textFill>
        </w:rPr>
        <w:t>，</w:t>
      </w:r>
      <w:r>
        <w:rPr>
          <w:rFonts w:ascii="Times New Roman" w:hAnsi="Times New Roman" w:eastAsia="仿宋_GB2312" w:cs="Times New Roman"/>
          <w:bCs/>
          <w:color w:val="000000" w:themeColor="text1"/>
          <w:kern w:val="0"/>
          <w:sz w:val="28"/>
          <w:szCs w:val="28"/>
          <w14:textFill>
            <w14:solidFill>
              <w14:schemeClr w14:val="tx1"/>
            </w14:solidFill>
          </w14:textFill>
        </w:rPr>
        <w:t>专项规划、区域规划等各类规划都要开展中期评估及</w:t>
      </w:r>
      <w:r>
        <w:rPr>
          <w:rFonts w:hint="eastAsia" w:ascii="Times New Roman" w:hAnsi="Times New Roman" w:eastAsia="仿宋_GB2312" w:cs="Times New Roman"/>
          <w:bCs/>
          <w:color w:val="000000" w:themeColor="text1"/>
          <w:kern w:val="0"/>
          <w:sz w:val="28"/>
          <w:szCs w:val="28"/>
          <w14:textFill>
            <w14:solidFill>
              <w14:schemeClr w14:val="tx1"/>
            </w14:solidFill>
          </w14:textFill>
        </w:rPr>
        <w:t>终期</w:t>
      </w:r>
      <w:r>
        <w:rPr>
          <w:rFonts w:ascii="Times New Roman" w:hAnsi="Times New Roman" w:eastAsia="仿宋_GB2312" w:cs="Times New Roman"/>
          <w:bCs/>
          <w:color w:val="000000" w:themeColor="text1"/>
          <w:kern w:val="0"/>
          <w:sz w:val="28"/>
          <w:szCs w:val="28"/>
          <w14:textFill>
            <w14:solidFill>
              <w14:schemeClr w14:val="tx1"/>
            </w14:solidFill>
          </w14:textFill>
        </w:rPr>
        <w:t>评估。要充分借助智库等专业资源，</w:t>
      </w:r>
      <w:r>
        <w:rPr>
          <w:rFonts w:hint="eastAsia" w:ascii="Times New Roman" w:hAnsi="Times New Roman" w:eastAsia="仿宋_GB2312" w:cs="Times New Roman"/>
          <w:bCs/>
          <w:color w:val="000000" w:themeColor="text1"/>
          <w:kern w:val="0"/>
          <w:sz w:val="28"/>
          <w:szCs w:val="28"/>
          <w14:textFill>
            <w14:solidFill>
              <w14:schemeClr w14:val="tx1"/>
            </w14:solidFill>
          </w14:textFill>
        </w:rPr>
        <w:t>探索</w:t>
      </w:r>
      <w:r>
        <w:rPr>
          <w:rFonts w:ascii="Times New Roman" w:hAnsi="Times New Roman" w:eastAsia="仿宋_GB2312" w:cs="Times New Roman"/>
          <w:bCs/>
          <w:color w:val="000000" w:themeColor="text1"/>
          <w:kern w:val="0"/>
          <w:sz w:val="28"/>
          <w:szCs w:val="28"/>
          <w14:textFill>
            <w14:solidFill>
              <w14:schemeClr w14:val="tx1"/>
            </w14:solidFill>
          </w14:textFill>
        </w:rPr>
        <w:t>开展第三方</w:t>
      </w:r>
      <w:r>
        <w:rPr>
          <w:rFonts w:hint="eastAsia" w:ascii="Times New Roman" w:hAnsi="Times New Roman" w:eastAsia="仿宋_GB2312" w:cs="Times New Roman"/>
          <w:bCs/>
          <w:color w:val="000000" w:themeColor="text1"/>
          <w:kern w:val="0"/>
          <w:sz w:val="28"/>
          <w:szCs w:val="28"/>
          <w14:textFill>
            <w14:solidFill>
              <w14:schemeClr w14:val="tx1"/>
            </w14:solidFill>
          </w14:textFill>
        </w:rPr>
        <w:t>专业</w:t>
      </w:r>
      <w:r>
        <w:rPr>
          <w:rFonts w:ascii="Times New Roman" w:hAnsi="Times New Roman" w:eastAsia="仿宋_GB2312" w:cs="Times New Roman"/>
          <w:bCs/>
          <w:color w:val="000000" w:themeColor="text1"/>
          <w:kern w:val="0"/>
          <w:sz w:val="28"/>
          <w:szCs w:val="28"/>
          <w14:textFill>
            <w14:solidFill>
              <w14:schemeClr w14:val="tx1"/>
            </w14:solidFill>
          </w14:textFill>
        </w:rPr>
        <w:t>评估。</w:t>
      </w:r>
    </w:p>
    <w:p>
      <w:pPr>
        <w:pStyle w:val="6"/>
        <w:keepNext w:val="0"/>
        <w:keepLines w:val="0"/>
        <w:pageBreakBefore w:val="0"/>
        <w:widowControl w:val="0"/>
        <w:kinsoku/>
        <w:wordWrap/>
        <w:overflowPunct/>
        <w:topLinePunct w:val="0"/>
        <w:autoSpaceDE/>
        <w:autoSpaceDN/>
        <w:bidi w:val="0"/>
        <w:spacing w:before="0" w:after="0" w:line="540" w:lineRule="exact"/>
        <w:ind w:firstLine="560" w:firstLineChars="200"/>
        <w:textAlignment w:val="auto"/>
        <w:rPr>
          <w:rFonts w:ascii="楷体_GB2312" w:hAnsi="楷体_GB2312" w:eastAsia="楷体_GB2312" w:cs="楷体_GB2312"/>
          <w:b w:val="0"/>
          <w:bCs w:val="0"/>
          <w:color w:val="000000" w:themeColor="text1"/>
          <w:sz w:val="28"/>
          <w:szCs w:val="28"/>
          <w14:textFill>
            <w14:solidFill>
              <w14:schemeClr w14:val="tx1"/>
            </w14:solidFill>
          </w14:textFill>
        </w:rPr>
      </w:pPr>
      <w:bookmarkStart w:id="308" w:name="_Toc1601"/>
      <w:bookmarkStart w:id="309" w:name="_Toc3021"/>
      <w:bookmarkStart w:id="310" w:name="_Toc15677"/>
      <w:bookmarkStart w:id="311" w:name="_Toc15071"/>
      <w:r>
        <w:rPr>
          <w:rFonts w:hint="eastAsia" w:ascii="楷体_GB2312" w:hAnsi="楷体_GB2312" w:eastAsia="楷体_GB2312" w:cs="楷体_GB2312"/>
          <w:b w:val="0"/>
          <w:bCs w:val="0"/>
          <w:color w:val="000000" w:themeColor="text1"/>
          <w:sz w:val="28"/>
          <w:szCs w:val="28"/>
          <w14:textFill>
            <w14:solidFill>
              <w14:schemeClr w14:val="tx1"/>
            </w14:solidFill>
          </w14:textFill>
        </w:rPr>
        <w:t>（四）健全动态调整修订机制</w:t>
      </w:r>
      <w:bookmarkEnd w:id="308"/>
      <w:bookmarkEnd w:id="309"/>
      <w:bookmarkEnd w:id="310"/>
      <w:bookmarkEnd w:id="311"/>
    </w:p>
    <w:p>
      <w:pPr>
        <w:pStyle w:val="10"/>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Times New Roman" w:hAnsi="Times New Roman" w:eastAsia="仿宋_GB2312" w:cs="Times New Roman"/>
          <w:bCs/>
          <w:color w:val="000000" w:themeColor="text1"/>
          <w:kern w:val="0"/>
          <w:sz w:val="28"/>
          <w:szCs w:val="28"/>
          <w14:textFill>
            <w14:solidFill>
              <w14:schemeClr w14:val="tx1"/>
            </w14:solidFill>
          </w14:textFill>
        </w:rPr>
      </w:pPr>
      <w:r>
        <w:rPr>
          <w:rFonts w:ascii="Times New Roman" w:hAnsi="Times New Roman" w:eastAsia="仿宋_GB2312" w:cs="Times New Roman"/>
          <w:bCs/>
          <w:color w:val="000000" w:themeColor="text1"/>
          <w:kern w:val="0"/>
          <w:sz w:val="28"/>
          <w:szCs w:val="28"/>
          <w14:textFill>
            <w14:solidFill>
              <w14:schemeClr w14:val="tx1"/>
            </w14:solidFill>
          </w14:textFill>
        </w:rPr>
        <w:t>基于《</w:t>
      </w:r>
      <w:r>
        <w:rPr>
          <w:rFonts w:hint="eastAsia" w:ascii="Times New Roman" w:hAnsi="Times New Roman" w:eastAsia="仿宋_GB2312" w:cs="Times New Roman"/>
          <w:bCs/>
          <w:color w:val="000000" w:themeColor="text1"/>
          <w:kern w:val="0"/>
          <w:sz w:val="28"/>
          <w:szCs w:val="28"/>
          <w14:textFill>
            <w14:solidFill>
              <w14:schemeClr w14:val="tx1"/>
            </w14:solidFill>
          </w14:textFill>
        </w:rPr>
        <w:t>规划纲要</w:t>
      </w:r>
      <w:r>
        <w:rPr>
          <w:rFonts w:ascii="Times New Roman" w:hAnsi="Times New Roman" w:eastAsia="仿宋_GB2312" w:cs="Times New Roman"/>
          <w:bCs/>
          <w:color w:val="000000" w:themeColor="text1"/>
          <w:kern w:val="0"/>
          <w:sz w:val="28"/>
          <w:szCs w:val="28"/>
          <w14:textFill>
            <w14:solidFill>
              <w14:schemeClr w14:val="tx1"/>
            </w14:solidFill>
          </w14:textFill>
        </w:rPr>
        <w:t>》监测分析及评估结果，确需调整时，按程序报批后提交人大审议批准。严格规范规划调整修订机制，未经法定程序批准，不得随意调整主要目标任务。专项规划、区域规划等各类规划的编制主体负责向审批主体提出修订调整建议。</w:t>
      </w:r>
    </w:p>
    <w:p>
      <w:pPr>
        <w:pStyle w:val="5"/>
        <w:keepNext w:val="0"/>
        <w:keepLines w:val="0"/>
        <w:pageBreakBefore w:val="0"/>
        <w:widowControl w:val="0"/>
        <w:kinsoku/>
        <w:wordWrap/>
        <w:overflowPunct/>
        <w:topLinePunct w:val="0"/>
        <w:autoSpaceDE/>
        <w:autoSpaceDN/>
        <w:bidi w:val="0"/>
        <w:spacing w:before="0" w:after="0" w:line="540" w:lineRule="exact"/>
        <w:ind w:firstLine="560" w:firstLineChars="200"/>
        <w:textAlignment w:val="auto"/>
        <w:rPr>
          <w:rFonts w:ascii="黑体" w:hAnsi="黑体" w:eastAsia="黑体"/>
          <w:b w:val="0"/>
          <w:bCs w:val="0"/>
          <w:color w:val="000000" w:themeColor="text1"/>
          <w:sz w:val="28"/>
          <w:szCs w:val="28"/>
          <w14:textFill>
            <w14:solidFill>
              <w14:schemeClr w14:val="tx1"/>
            </w14:solidFill>
          </w14:textFill>
        </w:rPr>
      </w:pPr>
      <w:bookmarkStart w:id="312" w:name="_Toc14413"/>
      <w:bookmarkStart w:id="313" w:name="_Toc13827"/>
      <w:bookmarkStart w:id="314" w:name="_Toc31832"/>
      <w:bookmarkStart w:id="315" w:name="_Toc15250"/>
      <w:bookmarkStart w:id="316" w:name="_Toc11172"/>
      <w:r>
        <w:rPr>
          <w:rFonts w:hint="eastAsia" w:ascii="黑体" w:hAnsi="黑体" w:eastAsia="黑体"/>
          <w:b w:val="0"/>
          <w:bCs w:val="0"/>
          <w:color w:val="000000" w:themeColor="text1"/>
          <w:sz w:val="28"/>
          <w:szCs w:val="28"/>
          <w14:textFill>
            <w14:solidFill>
              <w14:schemeClr w14:val="tx1"/>
            </w14:solidFill>
          </w14:textFill>
        </w:rPr>
        <w:t>四、完善监督考核机制</w:t>
      </w:r>
      <w:bookmarkEnd w:id="312"/>
      <w:bookmarkEnd w:id="313"/>
      <w:bookmarkEnd w:id="314"/>
      <w:bookmarkEnd w:id="315"/>
      <w:bookmarkEnd w:id="316"/>
    </w:p>
    <w:p>
      <w:pPr>
        <w:pStyle w:val="6"/>
        <w:keepNext w:val="0"/>
        <w:keepLines w:val="0"/>
        <w:pageBreakBefore w:val="0"/>
        <w:widowControl w:val="0"/>
        <w:kinsoku/>
        <w:wordWrap/>
        <w:overflowPunct/>
        <w:topLinePunct w:val="0"/>
        <w:autoSpaceDE/>
        <w:autoSpaceDN/>
        <w:bidi w:val="0"/>
        <w:spacing w:before="0" w:after="0" w:line="540" w:lineRule="exact"/>
        <w:ind w:firstLine="560" w:firstLineChars="200"/>
        <w:textAlignment w:val="auto"/>
        <w:rPr>
          <w:rFonts w:ascii="楷体_GB2312" w:hAnsi="楷体_GB2312" w:eastAsia="楷体_GB2312" w:cs="楷体_GB2312"/>
          <w:b w:val="0"/>
          <w:bCs w:val="0"/>
          <w:color w:val="000000" w:themeColor="text1"/>
          <w:sz w:val="28"/>
          <w:szCs w:val="28"/>
          <w14:textFill>
            <w14:solidFill>
              <w14:schemeClr w14:val="tx1"/>
            </w14:solidFill>
          </w14:textFill>
        </w:rPr>
      </w:pPr>
      <w:bookmarkStart w:id="317" w:name="_Toc18995"/>
      <w:bookmarkStart w:id="318" w:name="_Toc1552"/>
      <w:bookmarkStart w:id="319" w:name="_Toc16644"/>
      <w:bookmarkStart w:id="320" w:name="_Toc14066"/>
      <w:r>
        <w:rPr>
          <w:rFonts w:hint="eastAsia" w:ascii="楷体_GB2312" w:hAnsi="楷体_GB2312" w:eastAsia="楷体_GB2312" w:cs="楷体_GB2312"/>
          <w:b w:val="0"/>
          <w:bCs w:val="0"/>
          <w:color w:val="000000" w:themeColor="text1"/>
          <w:sz w:val="28"/>
          <w:szCs w:val="28"/>
          <w14:textFill>
            <w14:solidFill>
              <w14:schemeClr w14:val="tx1"/>
            </w14:solidFill>
          </w14:textFill>
        </w:rPr>
        <w:t>（一）服从党和国家的监督管理</w:t>
      </w:r>
      <w:bookmarkEnd w:id="317"/>
    </w:p>
    <w:p>
      <w:pPr>
        <w:pStyle w:val="10"/>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Times New Roman" w:hAnsi="Times New Roman" w:eastAsia="仿宋_GB2312" w:cs="Times New Roman"/>
          <w:bCs/>
          <w:color w:val="000000" w:themeColor="text1"/>
          <w:kern w:val="0"/>
          <w:sz w:val="28"/>
          <w:szCs w:val="28"/>
          <w14:textFill>
            <w14:solidFill>
              <w14:schemeClr w14:val="tx1"/>
            </w14:solidFill>
          </w14:textFill>
        </w:rPr>
      </w:pPr>
      <w:r>
        <w:rPr>
          <w:rFonts w:hint="eastAsia" w:ascii="Times New Roman" w:hAnsi="Times New Roman" w:eastAsia="仿宋_GB2312" w:cs="Times New Roman"/>
          <w:bCs/>
          <w:color w:val="000000" w:themeColor="text1"/>
          <w:kern w:val="0"/>
          <w:sz w:val="28"/>
          <w:szCs w:val="28"/>
          <w14:textFill>
            <w14:solidFill>
              <w14:schemeClr w14:val="tx1"/>
            </w14:solidFill>
          </w14:textFill>
        </w:rPr>
        <w:t>全面落实</w:t>
      </w:r>
      <w:r>
        <w:rPr>
          <w:rFonts w:ascii="Times New Roman" w:hAnsi="Times New Roman" w:eastAsia="仿宋_GB2312" w:cs="Times New Roman"/>
          <w:bCs/>
          <w:color w:val="000000" w:themeColor="text1"/>
          <w:kern w:val="0"/>
          <w:sz w:val="28"/>
          <w:szCs w:val="28"/>
          <w14:textFill>
            <w14:solidFill>
              <w14:schemeClr w14:val="tx1"/>
            </w14:solidFill>
          </w14:textFill>
        </w:rPr>
        <w:t>习近平总书记在党的十九届中央纪委五次全会上的重要讲话</w:t>
      </w:r>
      <w:r>
        <w:rPr>
          <w:rFonts w:hint="eastAsia" w:ascii="Times New Roman" w:hAnsi="Times New Roman" w:eastAsia="仿宋_GB2312" w:cs="Times New Roman"/>
          <w:bCs/>
          <w:color w:val="000000" w:themeColor="text1"/>
          <w:kern w:val="0"/>
          <w:sz w:val="28"/>
          <w:szCs w:val="28"/>
          <w14:textFill>
            <w14:solidFill>
              <w14:schemeClr w14:val="tx1"/>
            </w14:solidFill>
          </w14:textFill>
        </w:rPr>
        <w:t>要求，“完善党和国家监督体系，把监督融入‘十四五’建设中”。</w:t>
      </w:r>
      <w:r>
        <w:rPr>
          <w:rFonts w:ascii="Times New Roman" w:hAnsi="Times New Roman" w:eastAsia="仿宋_GB2312" w:cs="Times New Roman"/>
          <w:bCs/>
          <w:color w:val="000000" w:themeColor="text1"/>
          <w:kern w:val="0"/>
          <w:sz w:val="28"/>
          <w:szCs w:val="28"/>
          <w14:textFill>
            <w14:solidFill>
              <w14:schemeClr w14:val="tx1"/>
            </w14:solidFill>
          </w14:textFill>
        </w:rPr>
        <w:t>要通过有效的监督维护全面从严治党的引领保障作用，把党建设得更加坚强有力，更好领导实现“十四五”规划的各项目标任务。</w:t>
      </w:r>
      <w:r>
        <w:rPr>
          <w:rFonts w:hint="eastAsia" w:ascii="Times New Roman" w:hAnsi="Times New Roman" w:eastAsia="仿宋_GB2312" w:cs="Times New Roman"/>
          <w:bCs/>
          <w:color w:val="000000" w:themeColor="text1"/>
          <w:kern w:val="0"/>
          <w:sz w:val="28"/>
          <w:szCs w:val="28"/>
          <w14:textFill>
            <w14:solidFill>
              <w14:schemeClr w14:val="tx1"/>
            </w14:solidFill>
          </w14:textFill>
        </w:rPr>
        <w:t>要</w:t>
      </w:r>
      <w:r>
        <w:rPr>
          <w:rFonts w:ascii="Times New Roman" w:hAnsi="Times New Roman" w:eastAsia="仿宋_GB2312" w:cs="Times New Roman"/>
          <w:bCs/>
          <w:color w:val="000000" w:themeColor="text1"/>
          <w:kern w:val="0"/>
          <w:sz w:val="28"/>
          <w:szCs w:val="28"/>
          <w14:textFill>
            <w14:solidFill>
              <w14:schemeClr w14:val="tx1"/>
            </w14:solidFill>
          </w14:textFill>
        </w:rPr>
        <w:t>从根本宗旨、问题导向、忧患意识贯彻新发展理念，构建新发展格局。要落实主体责任和监督专责，充分发挥纪检监察机关监督保障执行作用，促进完善发展功能，知责于心、担责于身、履责于行。</w:t>
      </w:r>
    </w:p>
    <w:p>
      <w:pPr>
        <w:pStyle w:val="6"/>
        <w:keepNext w:val="0"/>
        <w:keepLines w:val="0"/>
        <w:pageBreakBefore w:val="0"/>
        <w:widowControl w:val="0"/>
        <w:kinsoku/>
        <w:wordWrap/>
        <w:overflowPunct/>
        <w:topLinePunct w:val="0"/>
        <w:autoSpaceDE/>
        <w:autoSpaceDN/>
        <w:bidi w:val="0"/>
        <w:spacing w:before="0" w:after="0" w:line="540" w:lineRule="exact"/>
        <w:ind w:firstLine="560" w:firstLineChars="200"/>
        <w:textAlignment w:val="auto"/>
        <w:rPr>
          <w:rFonts w:ascii="楷体_GB2312" w:hAnsi="楷体_GB2312" w:eastAsia="楷体_GB2312" w:cs="楷体_GB2312"/>
          <w:b w:val="0"/>
          <w:bCs w:val="0"/>
          <w:color w:val="000000" w:themeColor="text1"/>
          <w:sz w:val="28"/>
          <w:szCs w:val="28"/>
          <w14:textFill>
            <w14:solidFill>
              <w14:schemeClr w14:val="tx1"/>
            </w14:solidFill>
          </w14:textFill>
        </w:rPr>
      </w:pPr>
      <w:bookmarkStart w:id="321" w:name="_Toc31405"/>
      <w:r>
        <w:rPr>
          <w:rFonts w:hint="eastAsia" w:ascii="楷体_GB2312" w:hAnsi="楷体_GB2312" w:eastAsia="楷体_GB2312" w:cs="楷体_GB2312"/>
          <w:b w:val="0"/>
          <w:bCs w:val="0"/>
          <w:color w:val="000000" w:themeColor="text1"/>
          <w:sz w:val="28"/>
          <w:szCs w:val="28"/>
          <w14:textFill>
            <w14:solidFill>
              <w14:schemeClr w14:val="tx1"/>
            </w14:solidFill>
          </w14:textFill>
        </w:rPr>
        <w:t>（二）强化人大监督作用</w:t>
      </w:r>
      <w:bookmarkEnd w:id="318"/>
      <w:bookmarkEnd w:id="319"/>
      <w:bookmarkEnd w:id="320"/>
      <w:bookmarkEnd w:id="321"/>
    </w:p>
    <w:p>
      <w:pPr>
        <w:pStyle w:val="10"/>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Times New Roman" w:hAnsi="Times New Roman" w:eastAsia="仿宋_GB2312" w:cs="Times New Roman"/>
          <w:bCs/>
          <w:color w:val="000000" w:themeColor="text1"/>
          <w:kern w:val="0"/>
          <w:sz w:val="28"/>
          <w:szCs w:val="28"/>
          <w14:textFill>
            <w14:solidFill>
              <w14:schemeClr w14:val="tx1"/>
            </w14:solidFill>
          </w14:textFill>
        </w:rPr>
      </w:pPr>
      <w:r>
        <w:rPr>
          <w:rFonts w:ascii="Times New Roman" w:hAnsi="Times New Roman" w:eastAsia="仿宋_GB2312" w:cs="Times New Roman"/>
          <w:bCs/>
          <w:color w:val="000000" w:themeColor="text1"/>
          <w:kern w:val="0"/>
          <w:sz w:val="28"/>
          <w:szCs w:val="28"/>
          <w14:textFill>
            <w14:solidFill>
              <w14:schemeClr w14:val="tx1"/>
            </w14:solidFill>
          </w14:textFill>
        </w:rPr>
        <w:t>要依法向</w:t>
      </w:r>
      <w:r>
        <w:rPr>
          <w:rFonts w:hint="eastAsia" w:ascii="Times New Roman" w:hAnsi="Times New Roman" w:eastAsia="仿宋_GB2312" w:cs="Times New Roman"/>
          <w:bCs/>
          <w:color w:val="000000" w:themeColor="text1"/>
          <w:kern w:val="0"/>
          <w:sz w:val="28"/>
          <w:szCs w:val="28"/>
          <w14:textFill>
            <w14:solidFill>
              <w14:schemeClr w14:val="tx1"/>
            </w14:solidFill>
          </w14:textFill>
        </w:rPr>
        <w:t>县</w:t>
      </w:r>
      <w:r>
        <w:rPr>
          <w:rFonts w:ascii="Times New Roman" w:hAnsi="Times New Roman" w:eastAsia="仿宋_GB2312" w:cs="Times New Roman"/>
          <w:bCs/>
          <w:color w:val="000000" w:themeColor="text1"/>
          <w:kern w:val="0"/>
          <w:sz w:val="28"/>
          <w:szCs w:val="28"/>
          <w14:textFill>
            <w14:solidFill>
              <w14:schemeClr w14:val="tx1"/>
            </w14:solidFill>
          </w14:textFill>
        </w:rPr>
        <w:t>人大报告《</w:t>
      </w:r>
      <w:r>
        <w:rPr>
          <w:rFonts w:hint="eastAsia" w:ascii="Times New Roman" w:hAnsi="Times New Roman" w:eastAsia="仿宋_GB2312" w:cs="Times New Roman"/>
          <w:bCs/>
          <w:color w:val="000000" w:themeColor="text1"/>
          <w:kern w:val="0"/>
          <w:sz w:val="28"/>
          <w:szCs w:val="28"/>
          <w14:textFill>
            <w14:solidFill>
              <w14:schemeClr w14:val="tx1"/>
            </w14:solidFill>
          </w14:textFill>
        </w:rPr>
        <w:t>规划纲要</w:t>
      </w:r>
      <w:r>
        <w:rPr>
          <w:rFonts w:ascii="Times New Roman" w:hAnsi="Times New Roman" w:eastAsia="仿宋_GB2312" w:cs="Times New Roman"/>
          <w:bCs/>
          <w:color w:val="000000" w:themeColor="text1"/>
          <w:kern w:val="0"/>
          <w:sz w:val="28"/>
          <w:szCs w:val="28"/>
          <w14:textFill>
            <w14:solidFill>
              <w14:schemeClr w14:val="tx1"/>
            </w14:solidFill>
          </w14:textFill>
        </w:rPr>
        <w:t>》实施情况和中期评估报告，自觉接受人大监督，认真研究处理审议意见，及时报告整改结果。要高度重视人大代表的意见建议，鼓励人大代表跟踪监督《</w:t>
      </w:r>
      <w:r>
        <w:rPr>
          <w:rFonts w:hint="eastAsia" w:ascii="Times New Roman" w:hAnsi="Times New Roman" w:eastAsia="仿宋_GB2312" w:cs="Times New Roman"/>
          <w:bCs/>
          <w:color w:val="000000" w:themeColor="text1"/>
          <w:kern w:val="0"/>
          <w:sz w:val="28"/>
          <w:szCs w:val="28"/>
          <w14:textFill>
            <w14:solidFill>
              <w14:schemeClr w14:val="tx1"/>
            </w14:solidFill>
          </w14:textFill>
        </w:rPr>
        <w:t>规划纲要</w:t>
      </w:r>
      <w:r>
        <w:rPr>
          <w:rFonts w:ascii="Times New Roman" w:hAnsi="Times New Roman" w:eastAsia="仿宋_GB2312" w:cs="Times New Roman"/>
          <w:bCs/>
          <w:color w:val="000000" w:themeColor="text1"/>
          <w:kern w:val="0"/>
          <w:sz w:val="28"/>
          <w:szCs w:val="28"/>
          <w14:textFill>
            <w14:solidFill>
              <w14:schemeClr w14:val="tx1"/>
            </w14:solidFill>
          </w14:textFill>
        </w:rPr>
        <w:t>》实施情况，充分发挥代表建议和代表专题调研、集中视察对《</w:t>
      </w:r>
      <w:r>
        <w:rPr>
          <w:rFonts w:hint="eastAsia" w:ascii="Times New Roman" w:hAnsi="Times New Roman" w:eastAsia="仿宋_GB2312" w:cs="Times New Roman"/>
          <w:bCs/>
          <w:color w:val="000000" w:themeColor="text1"/>
          <w:kern w:val="0"/>
          <w:sz w:val="28"/>
          <w:szCs w:val="28"/>
          <w14:textFill>
            <w14:solidFill>
              <w14:schemeClr w14:val="tx1"/>
            </w14:solidFill>
          </w14:textFill>
        </w:rPr>
        <w:t>规划纲要</w:t>
      </w:r>
      <w:r>
        <w:rPr>
          <w:rFonts w:ascii="Times New Roman" w:hAnsi="Times New Roman" w:eastAsia="仿宋_GB2312" w:cs="Times New Roman"/>
          <w:bCs/>
          <w:color w:val="000000" w:themeColor="text1"/>
          <w:kern w:val="0"/>
          <w:sz w:val="28"/>
          <w:szCs w:val="28"/>
          <w14:textFill>
            <w14:solidFill>
              <w14:schemeClr w14:val="tx1"/>
            </w14:solidFill>
          </w14:textFill>
        </w:rPr>
        <w:t>》实施的推动作用。</w:t>
      </w:r>
    </w:p>
    <w:p>
      <w:pPr>
        <w:pStyle w:val="6"/>
        <w:keepNext w:val="0"/>
        <w:keepLines w:val="0"/>
        <w:pageBreakBefore w:val="0"/>
        <w:widowControl w:val="0"/>
        <w:kinsoku/>
        <w:wordWrap/>
        <w:overflowPunct/>
        <w:topLinePunct w:val="0"/>
        <w:autoSpaceDE/>
        <w:autoSpaceDN/>
        <w:bidi w:val="0"/>
        <w:spacing w:before="0" w:after="0" w:line="540" w:lineRule="exact"/>
        <w:ind w:firstLine="560" w:firstLineChars="200"/>
        <w:textAlignment w:val="auto"/>
        <w:rPr>
          <w:rFonts w:ascii="楷体_GB2312" w:hAnsi="楷体_GB2312" w:eastAsia="楷体_GB2312" w:cs="楷体_GB2312"/>
          <w:b w:val="0"/>
          <w:bCs w:val="0"/>
          <w:color w:val="000000" w:themeColor="text1"/>
          <w:sz w:val="28"/>
          <w:szCs w:val="28"/>
          <w14:textFill>
            <w14:solidFill>
              <w14:schemeClr w14:val="tx1"/>
            </w14:solidFill>
          </w14:textFill>
        </w:rPr>
      </w:pPr>
      <w:bookmarkStart w:id="322" w:name="_Toc1678"/>
      <w:bookmarkStart w:id="323" w:name="_Toc30604"/>
      <w:bookmarkStart w:id="324" w:name="_Toc10369"/>
      <w:bookmarkStart w:id="325" w:name="_Toc32457"/>
      <w:r>
        <w:rPr>
          <w:rFonts w:hint="eastAsia" w:ascii="楷体_GB2312" w:hAnsi="楷体_GB2312" w:eastAsia="楷体_GB2312" w:cs="楷体_GB2312"/>
          <w:b w:val="0"/>
          <w:bCs w:val="0"/>
          <w:color w:val="000000" w:themeColor="text1"/>
          <w:sz w:val="28"/>
          <w:szCs w:val="28"/>
          <w14:textFill>
            <w14:solidFill>
              <w14:schemeClr w14:val="tx1"/>
            </w14:solidFill>
          </w14:textFill>
        </w:rPr>
        <w:t>（三）完善社会监督机制</w:t>
      </w:r>
      <w:bookmarkEnd w:id="322"/>
      <w:bookmarkEnd w:id="323"/>
      <w:bookmarkEnd w:id="324"/>
      <w:bookmarkEnd w:id="325"/>
    </w:p>
    <w:p>
      <w:pPr>
        <w:pStyle w:val="10"/>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Times New Roman" w:hAnsi="Times New Roman" w:eastAsia="仿宋_GB2312" w:cs="Times New Roman"/>
          <w:bCs/>
          <w:color w:val="000000" w:themeColor="text1"/>
          <w:kern w:val="0"/>
          <w:sz w:val="28"/>
          <w:szCs w:val="28"/>
          <w14:textFill>
            <w14:solidFill>
              <w14:schemeClr w14:val="tx1"/>
            </w14:solidFill>
          </w14:textFill>
        </w:rPr>
      </w:pPr>
      <w:r>
        <w:rPr>
          <w:rFonts w:ascii="Times New Roman" w:hAnsi="Times New Roman" w:eastAsia="仿宋_GB2312" w:cs="Times New Roman"/>
          <w:bCs/>
          <w:color w:val="000000" w:themeColor="text1"/>
          <w:kern w:val="0"/>
          <w:sz w:val="28"/>
          <w:szCs w:val="28"/>
          <w14:textFill>
            <w14:solidFill>
              <w14:schemeClr w14:val="tx1"/>
            </w14:solidFill>
          </w14:textFill>
        </w:rPr>
        <w:t>各实施责任主体要及时发布《</w:t>
      </w:r>
      <w:r>
        <w:rPr>
          <w:rFonts w:hint="eastAsia" w:ascii="Times New Roman" w:hAnsi="Times New Roman" w:eastAsia="仿宋_GB2312" w:cs="Times New Roman"/>
          <w:bCs/>
          <w:color w:val="000000" w:themeColor="text1"/>
          <w:kern w:val="0"/>
          <w:sz w:val="28"/>
          <w:szCs w:val="28"/>
          <w14:textFill>
            <w14:solidFill>
              <w14:schemeClr w14:val="tx1"/>
            </w14:solidFill>
          </w14:textFill>
        </w:rPr>
        <w:t>规划纲要</w:t>
      </w:r>
      <w:r>
        <w:rPr>
          <w:rFonts w:ascii="Times New Roman" w:hAnsi="Times New Roman" w:eastAsia="仿宋_GB2312" w:cs="Times New Roman"/>
          <w:bCs/>
          <w:color w:val="000000" w:themeColor="text1"/>
          <w:kern w:val="0"/>
          <w:sz w:val="28"/>
          <w:szCs w:val="28"/>
          <w14:textFill>
            <w14:solidFill>
              <w14:schemeClr w14:val="tx1"/>
            </w14:solidFill>
          </w14:textFill>
        </w:rPr>
        <w:t>》实施进展情况，保障社会公众知情权。畅通公众监督渠道，更好发挥各民主党派、工商联和无党派人士对《</w:t>
      </w:r>
      <w:r>
        <w:rPr>
          <w:rFonts w:hint="eastAsia" w:ascii="Times New Roman" w:hAnsi="Times New Roman" w:eastAsia="仿宋_GB2312" w:cs="Times New Roman"/>
          <w:bCs/>
          <w:color w:val="000000" w:themeColor="text1"/>
          <w:kern w:val="0"/>
          <w:sz w:val="28"/>
          <w:szCs w:val="28"/>
          <w14:textFill>
            <w14:solidFill>
              <w14:schemeClr w14:val="tx1"/>
            </w14:solidFill>
          </w14:textFill>
        </w:rPr>
        <w:t>规划纲要</w:t>
      </w:r>
      <w:r>
        <w:rPr>
          <w:rFonts w:ascii="Times New Roman" w:hAnsi="Times New Roman" w:eastAsia="仿宋_GB2312" w:cs="Times New Roman"/>
          <w:bCs/>
          <w:color w:val="000000" w:themeColor="text1"/>
          <w:kern w:val="0"/>
          <w:sz w:val="28"/>
          <w:szCs w:val="28"/>
          <w14:textFill>
            <w14:solidFill>
              <w14:schemeClr w14:val="tx1"/>
            </w14:solidFill>
          </w14:textFill>
        </w:rPr>
        <w:t>》实施的民主监督作用。充分发挥行业协会商会、贸易投资促进机构、智库等社会力量的专业化监督作用。建立利用互联网等新媒体监督《</w:t>
      </w:r>
      <w:r>
        <w:rPr>
          <w:rFonts w:hint="eastAsia" w:ascii="Times New Roman" w:hAnsi="Times New Roman" w:eastAsia="仿宋_GB2312" w:cs="Times New Roman"/>
          <w:bCs/>
          <w:color w:val="000000" w:themeColor="text1"/>
          <w:kern w:val="0"/>
          <w:sz w:val="28"/>
          <w:szCs w:val="28"/>
          <w14:textFill>
            <w14:solidFill>
              <w14:schemeClr w14:val="tx1"/>
            </w14:solidFill>
          </w14:textFill>
        </w:rPr>
        <w:t>规划纲要</w:t>
      </w:r>
      <w:r>
        <w:rPr>
          <w:rFonts w:ascii="Times New Roman" w:hAnsi="Times New Roman" w:eastAsia="仿宋_GB2312" w:cs="Times New Roman"/>
          <w:bCs/>
          <w:color w:val="000000" w:themeColor="text1"/>
          <w:kern w:val="0"/>
          <w:sz w:val="28"/>
          <w:szCs w:val="28"/>
          <w14:textFill>
            <w14:solidFill>
              <w14:schemeClr w14:val="tx1"/>
            </w14:solidFill>
          </w14:textFill>
        </w:rPr>
        <w:t>》实施的有效机制。</w:t>
      </w:r>
    </w:p>
    <w:p>
      <w:pPr>
        <w:pStyle w:val="6"/>
        <w:keepNext w:val="0"/>
        <w:keepLines w:val="0"/>
        <w:pageBreakBefore w:val="0"/>
        <w:widowControl w:val="0"/>
        <w:kinsoku/>
        <w:wordWrap/>
        <w:overflowPunct/>
        <w:topLinePunct w:val="0"/>
        <w:autoSpaceDE/>
        <w:autoSpaceDN/>
        <w:bidi w:val="0"/>
        <w:spacing w:before="0" w:after="0" w:line="540" w:lineRule="exact"/>
        <w:ind w:firstLine="560" w:firstLineChars="200"/>
        <w:textAlignment w:val="auto"/>
        <w:rPr>
          <w:rFonts w:ascii="楷体_GB2312" w:hAnsi="楷体_GB2312" w:eastAsia="楷体_GB2312" w:cs="楷体_GB2312"/>
          <w:b w:val="0"/>
          <w:bCs w:val="0"/>
          <w:color w:val="000000" w:themeColor="text1"/>
          <w:sz w:val="28"/>
          <w:szCs w:val="28"/>
          <w14:textFill>
            <w14:solidFill>
              <w14:schemeClr w14:val="tx1"/>
            </w14:solidFill>
          </w14:textFill>
        </w:rPr>
      </w:pPr>
      <w:bookmarkStart w:id="326" w:name="_Toc22387"/>
      <w:bookmarkStart w:id="327" w:name="_Toc9951"/>
      <w:bookmarkStart w:id="328" w:name="_Toc6963"/>
      <w:bookmarkStart w:id="329" w:name="_Toc30259"/>
      <w:r>
        <w:rPr>
          <w:rFonts w:hint="eastAsia" w:ascii="楷体_GB2312" w:hAnsi="楷体_GB2312" w:eastAsia="楷体_GB2312" w:cs="楷体_GB2312"/>
          <w:b w:val="0"/>
          <w:bCs w:val="0"/>
          <w:color w:val="000000" w:themeColor="text1"/>
          <w:sz w:val="28"/>
          <w:szCs w:val="28"/>
          <w14:textFill>
            <w14:solidFill>
              <w14:schemeClr w14:val="tx1"/>
            </w14:solidFill>
          </w14:textFill>
        </w:rPr>
        <w:t>（四）加强规划实施考核评价</w:t>
      </w:r>
      <w:bookmarkEnd w:id="326"/>
      <w:bookmarkEnd w:id="327"/>
      <w:bookmarkEnd w:id="328"/>
      <w:bookmarkEnd w:id="329"/>
    </w:p>
    <w:p>
      <w:pPr>
        <w:pStyle w:val="10"/>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Times New Roman" w:hAnsi="Times New Roman" w:eastAsia="仿宋_GB2312" w:cs="Times New Roman"/>
          <w:bCs/>
          <w:color w:val="000000" w:themeColor="text1"/>
          <w:kern w:val="0"/>
          <w:sz w:val="28"/>
          <w:szCs w:val="28"/>
          <w14:textFill>
            <w14:solidFill>
              <w14:schemeClr w14:val="tx1"/>
            </w14:solidFill>
          </w14:textFill>
        </w:rPr>
      </w:pPr>
      <w:r>
        <w:rPr>
          <w:rFonts w:ascii="Times New Roman" w:hAnsi="Times New Roman" w:eastAsia="仿宋_GB2312" w:cs="Times New Roman"/>
          <w:bCs/>
          <w:color w:val="000000" w:themeColor="text1"/>
          <w:kern w:val="0"/>
          <w:sz w:val="28"/>
          <w:szCs w:val="28"/>
          <w14:textFill>
            <w14:solidFill>
              <w14:schemeClr w14:val="tx1"/>
            </w14:solidFill>
          </w14:textFill>
        </w:rPr>
        <w:t>强化年度评估、中期评估、</w:t>
      </w:r>
      <w:r>
        <w:rPr>
          <w:rFonts w:hint="eastAsia" w:ascii="Times New Roman" w:hAnsi="Times New Roman" w:eastAsia="仿宋_GB2312" w:cs="Times New Roman"/>
          <w:bCs/>
          <w:color w:val="000000" w:themeColor="text1"/>
          <w:kern w:val="0"/>
          <w:sz w:val="28"/>
          <w:szCs w:val="28"/>
          <w14:textFill>
            <w14:solidFill>
              <w14:schemeClr w14:val="tx1"/>
            </w14:solidFill>
          </w14:textFill>
        </w:rPr>
        <w:t>终期</w:t>
      </w:r>
      <w:r>
        <w:rPr>
          <w:rFonts w:ascii="Times New Roman" w:hAnsi="Times New Roman" w:eastAsia="仿宋_GB2312" w:cs="Times New Roman"/>
          <w:bCs/>
          <w:color w:val="000000" w:themeColor="text1"/>
          <w:kern w:val="0"/>
          <w:sz w:val="28"/>
          <w:szCs w:val="28"/>
          <w14:textFill>
            <w14:solidFill>
              <w14:schemeClr w14:val="tx1"/>
            </w14:solidFill>
          </w14:textFill>
        </w:rPr>
        <w:t>评估及专项评估结果的运用，将《</w:t>
      </w:r>
      <w:r>
        <w:rPr>
          <w:rFonts w:hint="eastAsia" w:ascii="Times New Roman" w:hAnsi="Times New Roman" w:eastAsia="仿宋_GB2312" w:cs="Times New Roman"/>
          <w:bCs/>
          <w:color w:val="000000" w:themeColor="text1"/>
          <w:kern w:val="0"/>
          <w:sz w:val="28"/>
          <w:szCs w:val="28"/>
          <w14:textFill>
            <w14:solidFill>
              <w14:schemeClr w14:val="tx1"/>
            </w14:solidFill>
          </w14:textFill>
        </w:rPr>
        <w:t>规划纲要</w:t>
      </w:r>
      <w:r>
        <w:rPr>
          <w:rFonts w:ascii="Times New Roman" w:hAnsi="Times New Roman" w:eastAsia="仿宋_GB2312" w:cs="Times New Roman"/>
          <w:bCs/>
          <w:color w:val="000000" w:themeColor="text1"/>
          <w:kern w:val="0"/>
          <w:sz w:val="28"/>
          <w:szCs w:val="28"/>
          <w14:textFill>
            <w14:solidFill>
              <w14:schemeClr w14:val="tx1"/>
            </w14:solidFill>
          </w14:textFill>
        </w:rPr>
        <w:t>》实施情况纳入各级领导干部考核评价体系，考核评价结果作为干部晋升和惩处的重要依据。</w:t>
      </w:r>
      <w:r>
        <w:rPr>
          <w:rFonts w:hint="eastAsia" w:ascii="Times New Roman" w:hAnsi="Times New Roman" w:eastAsia="仿宋_GB2312" w:cs="Times New Roman"/>
          <w:bCs/>
          <w:color w:val="000000" w:themeColor="text1"/>
          <w:kern w:val="0"/>
          <w:sz w:val="28"/>
          <w:szCs w:val="28"/>
          <w:lang w:val="en-US" w:eastAsia="zh-CN"/>
          <w14:textFill>
            <w14:solidFill>
              <w14:schemeClr w14:val="tx1"/>
            </w14:solidFill>
          </w14:textFill>
        </w:rPr>
        <w:t>立足部门职能</w:t>
      </w:r>
      <w:r>
        <w:rPr>
          <w:rFonts w:ascii="Times New Roman" w:hAnsi="Times New Roman" w:eastAsia="仿宋_GB2312" w:cs="Times New Roman"/>
          <w:bCs/>
          <w:color w:val="000000" w:themeColor="text1"/>
          <w:kern w:val="0"/>
          <w:sz w:val="28"/>
          <w:szCs w:val="28"/>
          <w14:textFill>
            <w14:solidFill>
              <w14:schemeClr w14:val="tx1"/>
            </w14:solidFill>
          </w14:textFill>
        </w:rPr>
        <w:t>实际，研究提出差别化、可操作的考核内容及</w:t>
      </w:r>
      <w:r>
        <w:rPr>
          <w:rFonts w:hint="eastAsia" w:ascii="Times New Roman" w:hAnsi="Times New Roman" w:eastAsia="仿宋_GB2312" w:cs="Times New Roman"/>
          <w:bCs/>
          <w:color w:val="000000" w:themeColor="text1"/>
          <w:kern w:val="0"/>
          <w:sz w:val="28"/>
          <w:szCs w:val="28"/>
          <w:lang w:val="en-US" w:eastAsia="zh-CN"/>
          <w14:textFill>
            <w14:solidFill>
              <w14:schemeClr w14:val="tx1"/>
            </w14:solidFill>
          </w14:textFill>
        </w:rPr>
        <w:t>办法</w:t>
      </w:r>
      <w:r>
        <w:rPr>
          <w:rFonts w:ascii="Times New Roman" w:hAnsi="Times New Roman" w:eastAsia="仿宋_GB2312" w:cs="Times New Roman"/>
          <w:bCs/>
          <w:color w:val="000000" w:themeColor="text1"/>
          <w:kern w:val="0"/>
          <w:sz w:val="28"/>
          <w:szCs w:val="28"/>
          <w14:textFill>
            <w14:solidFill>
              <w14:schemeClr w14:val="tx1"/>
            </w14:solidFill>
          </w14:textFill>
        </w:rPr>
        <w:t>。探索</w:t>
      </w:r>
      <w:r>
        <w:rPr>
          <w:rFonts w:hint="eastAsia" w:ascii="Times New Roman" w:hAnsi="Times New Roman" w:eastAsia="仿宋_GB2312" w:cs="Times New Roman"/>
          <w:bCs/>
          <w:color w:val="000000" w:themeColor="text1"/>
          <w:kern w:val="0"/>
          <w:sz w:val="28"/>
          <w:szCs w:val="28"/>
          <w:lang w:val="en-US" w:eastAsia="zh-CN"/>
          <w14:textFill>
            <w14:solidFill>
              <w14:schemeClr w14:val="tx1"/>
            </w14:solidFill>
          </w14:textFill>
        </w:rPr>
        <w:t>构建</w:t>
      </w:r>
      <w:r>
        <w:rPr>
          <w:rFonts w:ascii="Times New Roman" w:hAnsi="Times New Roman" w:eastAsia="仿宋_GB2312" w:cs="Times New Roman"/>
          <w:bCs/>
          <w:color w:val="000000" w:themeColor="text1"/>
          <w:kern w:val="0"/>
          <w:sz w:val="28"/>
          <w:szCs w:val="28"/>
          <w14:textFill>
            <w14:solidFill>
              <w14:schemeClr w14:val="tx1"/>
            </w14:solidFill>
          </w14:textFill>
        </w:rPr>
        <w:t>将规划实施考核结果与被考核责任主体绩效挂钩</w:t>
      </w:r>
      <w:r>
        <w:rPr>
          <w:rFonts w:hint="eastAsia" w:ascii="Times New Roman" w:hAnsi="Times New Roman" w:eastAsia="仿宋_GB2312" w:cs="Times New Roman"/>
          <w:bCs/>
          <w:color w:val="000000" w:themeColor="text1"/>
          <w:kern w:val="0"/>
          <w:sz w:val="28"/>
          <w:szCs w:val="28"/>
          <w:lang w:val="en-US" w:eastAsia="zh-CN"/>
          <w14:textFill>
            <w14:solidFill>
              <w14:schemeClr w14:val="tx1"/>
            </w14:solidFill>
          </w14:textFill>
        </w:rPr>
        <w:t>的激励机制</w:t>
      </w:r>
      <w:r>
        <w:rPr>
          <w:rFonts w:ascii="Times New Roman" w:hAnsi="Times New Roman" w:eastAsia="仿宋_GB2312" w:cs="Times New Roman"/>
          <w:bCs/>
          <w:color w:val="000000" w:themeColor="text1"/>
          <w:kern w:val="0"/>
          <w:sz w:val="28"/>
          <w:szCs w:val="28"/>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Times New Roman" w:hAnsi="Times New Roman" w:eastAsia="仿宋_GB2312" w:cs="Times New Roman"/>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宏伟蓝图已绘就，乘风破浪正当时。</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全县上下</w:t>
      </w:r>
      <w:r>
        <w:rPr>
          <w:rFonts w:ascii="Times New Roman" w:hAnsi="Times New Roman" w:eastAsia="仿宋_GB2312" w:cs="Times New Roman"/>
          <w:bCs/>
          <w:color w:val="000000" w:themeColor="text1"/>
          <w:kern w:val="0"/>
          <w:sz w:val="28"/>
          <w:szCs w:val="28"/>
          <w14:textFill>
            <w14:solidFill>
              <w14:schemeClr w14:val="tx1"/>
            </w14:solidFill>
          </w14:textFill>
        </w:rPr>
        <w:t>要充分认识推进《</w:t>
      </w:r>
      <w:r>
        <w:rPr>
          <w:rFonts w:hint="eastAsia" w:ascii="Times New Roman" w:hAnsi="Times New Roman" w:eastAsia="仿宋_GB2312" w:cs="Times New Roman"/>
          <w:bCs/>
          <w:color w:val="000000" w:themeColor="text1"/>
          <w:kern w:val="0"/>
          <w:sz w:val="28"/>
          <w:szCs w:val="28"/>
          <w14:textFill>
            <w14:solidFill>
              <w14:schemeClr w14:val="tx1"/>
            </w14:solidFill>
          </w14:textFill>
        </w:rPr>
        <w:t>规划纲要</w:t>
      </w:r>
      <w:r>
        <w:rPr>
          <w:rFonts w:ascii="Times New Roman" w:hAnsi="Times New Roman" w:eastAsia="仿宋_GB2312" w:cs="Times New Roman"/>
          <w:bCs/>
          <w:color w:val="000000" w:themeColor="text1"/>
          <w:kern w:val="0"/>
          <w:sz w:val="28"/>
          <w:szCs w:val="28"/>
          <w14:textFill>
            <w14:solidFill>
              <w14:schemeClr w14:val="tx1"/>
            </w14:solidFill>
          </w14:textFill>
        </w:rPr>
        <w:t>》全面顺利实施的特殊重要意义，明确实施责任、创新实施机制、狠抓规划落实，广泛调动各方面积极性，不断开创发展新局面，确保</w:t>
      </w:r>
      <w:r>
        <w:rPr>
          <w:rFonts w:hint="eastAsia" w:ascii="Times New Roman" w:hAnsi="Times New Roman" w:eastAsia="仿宋_GB2312" w:cs="Times New Roman"/>
          <w:bCs/>
          <w:color w:val="000000" w:themeColor="text1"/>
          <w:kern w:val="0"/>
          <w:sz w:val="28"/>
          <w:szCs w:val="28"/>
          <w14:textFill>
            <w14:solidFill>
              <w14:schemeClr w14:val="tx1"/>
            </w14:solidFill>
          </w14:textFill>
        </w:rPr>
        <w:t>“</w:t>
      </w:r>
      <w:r>
        <w:rPr>
          <w:rFonts w:ascii="Times New Roman" w:hAnsi="Times New Roman" w:eastAsia="仿宋_GB2312" w:cs="Times New Roman"/>
          <w:bCs/>
          <w:color w:val="000000" w:themeColor="text1"/>
          <w:kern w:val="0"/>
          <w:sz w:val="28"/>
          <w:szCs w:val="28"/>
          <w14:textFill>
            <w14:solidFill>
              <w14:schemeClr w14:val="tx1"/>
            </w14:solidFill>
          </w14:textFill>
        </w:rPr>
        <w:t>十</w:t>
      </w:r>
      <w:r>
        <w:rPr>
          <w:rFonts w:hint="eastAsia" w:ascii="Times New Roman" w:hAnsi="Times New Roman" w:eastAsia="仿宋_GB2312" w:cs="Times New Roman"/>
          <w:bCs/>
          <w:color w:val="000000" w:themeColor="text1"/>
          <w:kern w:val="0"/>
          <w:sz w:val="28"/>
          <w:szCs w:val="28"/>
          <w14:textFill>
            <w14:solidFill>
              <w14:schemeClr w14:val="tx1"/>
            </w14:solidFill>
          </w14:textFill>
        </w:rPr>
        <w:t>四</w:t>
      </w:r>
      <w:r>
        <w:rPr>
          <w:rFonts w:ascii="Times New Roman" w:hAnsi="Times New Roman" w:eastAsia="仿宋_GB2312" w:cs="Times New Roman"/>
          <w:bCs/>
          <w:color w:val="000000" w:themeColor="text1"/>
          <w:kern w:val="0"/>
          <w:sz w:val="28"/>
          <w:szCs w:val="28"/>
          <w14:textFill>
            <w14:solidFill>
              <w14:schemeClr w14:val="tx1"/>
            </w14:solidFill>
          </w14:textFill>
        </w:rPr>
        <w:t>五</w:t>
      </w:r>
      <w:r>
        <w:rPr>
          <w:rFonts w:hint="eastAsia" w:ascii="Times New Roman" w:hAnsi="Times New Roman" w:eastAsia="仿宋_GB2312" w:cs="Times New Roman"/>
          <w:bCs/>
          <w:color w:val="000000" w:themeColor="text1"/>
          <w:kern w:val="0"/>
          <w:sz w:val="28"/>
          <w:szCs w:val="28"/>
          <w14:textFill>
            <w14:solidFill>
              <w14:schemeClr w14:val="tx1"/>
            </w14:solidFill>
          </w14:textFill>
        </w:rPr>
        <w:t>”</w:t>
      </w:r>
      <w:r>
        <w:rPr>
          <w:rFonts w:ascii="Times New Roman" w:hAnsi="Times New Roman" w:eastAsia="仿宋_GB2312" w:cs="Times New Roman"/>
          <w:bCs/>
          <w:color w:val="000000" w:themeColor="text1"/>
          <w:kern w:val="0"/>
          <w:sz w:val="28"/>
          <w:szCs w:val="28"/>
          <w14:textFill>
            <w14:solidFill>
              <w14:schemeClr w14:val="tx1"/>
            </w14:solidFill>
          </w14:textFill>
        </w:rPr>
        <w:t>时期各项目标任务有效完成，</w:t>
      </w:r>
      <w:r>
        <w:rPr>
          <w:rFonts w:hint="eastAsia" w:ascii="仿宋_GB2312" w:hAnsi="仿宋_GB2312" w:eastAsia="仿宋_GB2312" w:cs="仿宋_GB2312"/>
          <w:color w:val="000000" w:themeColor="text1"/>
          <w:sz w:val="28"/>
          <w:szCs w:val="28"/>
          <w14:textFill>
            <w14:solidFill>
              <w14:schemeClr w14:val="tx1"/>
            </w14:solidFill>
          </w14:textFill>
        </w:rPr>
        <w:t>争取早日实现邢台领头、河北一流、全国上游目标，</w:t>
      </w:r>
      <w:r>
        <w:rPr>
          <w:rFonts w:ascii="Times New Roman" w:hAnsi="Times New Roman" w:eastAsia="仿宋_GB2312" w:cs="Times New Roman"/>
          <w:bCs/>
          <w:color w:val="000000" w:themeColor="text1"/>
          <w:kern w:val="0"/>
          <w:sz w:val="28"/>
          <w:szCs w:val="28"/>
          <w14:textFill>
            <w14:solidFill>
              <w14:schemeClr w14:val="tx1"/>
            </w14:solidFill>
          </w14:textFill>
        </w:rPr>
        <w:t>坚决夺取</w:t>
      </w:r>
      <w:r>
        <w:rPr>
          <w:rFonts w:hint="eastAsia" w:ascii="Times New Roman" w:hAnsi="Times New Roman" w:eastAsia="仿宋_GB2312" w:cs="Times New Roman"/>
          <w:bCs/>
          <w:color w:val="000000" w:themeColor="text1"/>
          <w:kern w:val="0"/>
          <w:sz w:val="28"/>
          <w:szCs w:val="28"/>
          <w14:textFill>
            <w14:solidFill>
              <w14:schemeClr w14:val="tx1"/>
            </w14:solidFill>
          </w14:textFill>
        </w:rPr>
        <w:t>清河县高质量赶超发展</w:t>
      </w:r>
      <w:r>
        <w:rPr>
          <w:rFonts w:ascii="Times New Roman" w:hAnsi="Times New Roman" w:eastAsia="仿宋_GB2312" w:cs="Times New Roman"/>
          <w:bCs/>
          <w:color w:val="000000" w:themeColor="text1"/>
          <w:kern w:val="0"/>
          <w:sz w:val="28"/>
          <w:szCs w:val="28"/>
          <w14:textFill>
            <w14:solidFill>
              <w14:schemeClr w14:val="tx1"/>
            </w14:solidFill>
          </w14:textFill>
        </w:rPr>
        <w:t>的伟大胜利</w:t>
      </w:r>
      <w:r>
        <w:rPr>
          <w:rFonts w:hint="eastAsia" w:ascii="Times New Roman" w:hAnsi="Times New Roman" w:eastAsia="仿宋_GB2312" w:cs="Times New Roman"/>
          <w:bCs/>
          <w:color w:val="000000" w:themeColor="text1"/>
          <w:kern w:val="0"/>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14:textFill>
            <w14:solidFill>
              <w14:schemeClr w14:val="tx1"/>
            </w14:solidFill>
          </w14:textFill>
        </w:rPr>
        <w:t xml:space="preserve"> </w:t>
      </w:r>
    </w:p>
    <w:p>
      <w:pPr>
        <w:pStyle w:val="11"/>
        <w:rPr>
          <w:rFonts w:hint="eastAsia" w:ascii="Times New Roman" w:hAnsi="Times New Roman" w:eastAsia="仿宋_GB2312" w:cs="Times New Roman"/>
          <w:color w:val="000000" w:themeColor="text1"/>
          <w:sz w:val="28"/>
          <w:szCs w:val="28"/>
          <w14:textFill>
            <w14:solidFill>
              <w14:schemeClr w14:val="tx1"/>
            </w14:solidFill>
          </w14:textFill>
        </w:rPr>
      </w:pPr>
    </w:p>
    <w:p>
      <w:pPr>
        <w:pStyle w:val="12"/>
        <w:rPr>
          <w:rFonts w:hint="eastAsia" w:ascii="Times New Roman" w:hAnsi="Times New Roman" w:eastAsia="仿宋_GB2312" w:cs="Times New Roman"/>
          <w:color w:val="000000" w:themeColor="text1"/>
          <w:sz w:val="28"/>
          <w:szCs w:val="28"/>
          <w14:textFill>
            <w14:solidFill>
              <w14:schemeClr w14:val="tx1"/>
            </w14:solidFill>
          </w14:textFill>
        </w:rPr>
      </w:pPr>
    </w:p>
    <w:p>
      <w:pPr>
        <w:rPr>
          <w:rFonts w:hint="eastAsia"/>
        </w:rPr>
      </w:pPr>
    </w:p>
    <w:p>
      <w:pPr>
        <w:adjustRightInd w:val="0"/>
        <w:spacing w:line="570" w:lineRule="exact"/>
        <w:ind w:firstLine="640" w:firstLineChars="200"/>
        <w:rPr>
          <w:rFonts w:hint="eastAsia" w:ascii="仿宋" w:hAnsi="仿宋" w:eastAsia="仿宋" w:cs="仿宋"/>
          <w:sz w:val="32"/>
          <w:szCs w:val="32"/>
        </w:rPr>
      </w:pPr>
    </w:p>
    <w:p>
      <w:pPr>
        <w:adjustRightInd w:val="0"/>
        <w:spacing w:line="570" w:lineRule="exact"/>
        <w:ind w:firstLine="640" w:firstLineChars="200"/>
        <w:rPr>
          <w:rFonts w:hint="eastAsia" w:ascii="仿宋" w:hAnsi="仿宋" w:eastAsia="仿宋" w:cs="仿宋"/>
          <w:sz w:val="32"/>
          <w:szCs w:val="32"/>
        </w:rPr>
      </w:pPr>
    </w:p>
    <w:p>
      <w:pPr>
        <w:adjustRightInd w:val="0"/>
        <w:spacing w:line="570" w:lineRule="exact"/>
        <w:ind w:firstLine="640" w:firstLineChars="200"/>
        <w:rPr>
          <w:rFonts w:hint="eastAsia" w:ascii="仿宋" w:hAnsi="仿宋" w:eastAsia="仿宋" w:cs="仿宋"/>
          <w:sz w:val="32"/>
          <w:szCs w:val="32"/>
        </w:rPr>
      </w:pPr>
    </w:p>
    <w:p>
      <w:pPr>
        <w:adjustRightInd w:val="0"/>
        <w:spacing w:line="570" w:lineRule="exact"/>
        <w:ind w:firstLine="640" w:firstLineChars="200"/>
        <w:rPr>
          <w:rFonts w:hint="eastAsia" w:ascii="仿宋" w:hAnsi="仿宋" w:eastAsia="仿宋" w:cs="仿宋"/>
          <w:sz w:val="32"/>
          <w:szCs w:val="32"/>
        </w:rPr>
      </w:pPr>
    </w:p>
    <w:p>
      <w:pPr>
        <w:pStyle w:val="2"/>
        <w:rPr>
          <w:rFonts w:hint="eastAsia"/>
        </w:rPr>
      </w:pPr>
    </w:p>
    <w:p>
      <w:pPr>
        <w:adjustRightInd w:val="0"/>
        <w:spacing w:line="570" w:lineRule="exact"/>
        <w:ind w:firstLine="640" w:firstLineChars="200"/>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spacing w:line="400" w:lineRule="exact"/>
        <w:ind w:firstLine="640" w:firstLineChars="200"/>
        <w:textAlignment w:val="auto"/>
        <w:rPr>
          <w:rFonts w:hint="eastAsia" w:ascii="仿宋" w:hAnsi="仿宋" w:eastAsia="仿宋" w:cs="仿宋"/>
          <w:sz w:val="32"/>
          <w:szCs w:val="32"/>
        </w:rPr>
      </w:pPr>
    </w:p>
    <w:sectPr>
      <w:footerReference r:id="rId9" w:type="default"/>
      <w:pgSz w:w="11906" w:h="16838"/>
      <w:pgMar w:top="1984" w:right="1531" w:bottom="1701" w:left="1531" w:header="851" w:footer="1247"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roma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lear" w:pos="4153"/>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17"/>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lear" w:pos="4153"/>
      </w:tabs>
      <w:jc w:val="cente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17"/>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0340" cy="17907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0340" cy="1790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asciiTheme="minorEastAsia" w:hAnsiTheme="minorEastAsia" w:eastAsiaTheme="minorEastAsia" w:cstheme="minorEastAsia"/>
                              <w:b/>
                              <w:bCs/>
                              <w:sz w:val="21"/>
                              <w:szCs w:val="28"/>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4.1pt;width:14.2pt;mso-position-horizontal:outside;mso-position-horizontal-relative:margin;z-index:251660288;mso-width-relative:page;mso-height-relative:page;" filled="f" stroked="f" coordsize="21600,21600" o:gfxdata="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Cb4n+0gAAAAMBAAAPAAAAAAAAAAEA&#10;IAAAACIAAABkcnMvZG93bnJldi54bWxQSwECFAAUAAAACACHTuJADnij6hUCAAAJBAAADgAAAAAA&#10;AAABACAAAAAhAQAAZHJzL2Uyb0RvYy54bWxQSwUGAAAAAAYABgBZAQAAqAUAAAAA&#10;">
              <v:fill on="f" focussize="0,0"/>
              <v:stroke on="f" weight="0.5pt"/>
              <v:imagedata o:title=""/>
              <o:lock v:ext="edit" aspectratio="f"/>
              <v:textbox inset="0mm,0mm,0mm,0mm">
                <w:txbxContent>
                  <w:p>
                    <w:pPr>
                      <w:pStyle w:val="17"/>
                      <w:rPr>
                        <w:rFonts w:asciiTheme="minorEastAsia" w:hAnsiTheme="minorEastAsia" w:eastAsiaTheme="minorEastAsia" w:cstheme="minorEastAsia"/>
                        <w:b/>
                        <w:bCs/>
                        <w:sz w:val="21"/>
                        <w:szCs w:val="2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等线"/>
                              <w:lang w:eastAsia="zh-CN"/>
                            </w:rPr>
                          </w:pPr>
                          <w:r>
                            <w:rPr>
                              <w:rFonts w:hint="eastAsia" w:ascii="宋体" w:hAnsi="宋体" w:eastAsia="宋体" w:cs="宋体"/>
                              <w:b/>
                              <w:bCs/>
                              <w:sz w:val="21"/>
                              <w:szCs w:val="28"/>
                              <w:lang w:eastAsia="zh-CN"/>
                            </w:rPr>
                            <w:fldChar w:fldCharType="begin"/>
                          </w:r>
                          <w:r>
                            <w:rPr>
                              <w:rFonts w:hint="eastAsia" w:ascii="宋体" w:hAnsi="宋体" w:eastAsia="宋体" w:cs="宋体"/>
                              <w:b/>
                              <w:bCs/>
                              <w:sz w:val="21"/>
                              <w:szCs w:val="28"/>
                              <w:lang w:eastAsia="zh-CN"/>
                            </w:rPr>
                            <w:instrText xml:space="preserve"> PAGE  \* MERGEFORMAT </w:instrText>
                          </w:r>
                          <w:r>
                            <w:rPr>
                              <w:rFonts w:hint="eastAsia" w:ascii="宋体" w:hAnsi="宋体" w:eastAsia="宋体" w:cs="宋体"/>
                              <w:b/>
                              <w:bCs/>
                              <w:sz w:val="21"/>
                              <w:szCs w:val="28"/>
                              <w:lang w:eastAsia="zh-CN"/>
                            </w:rPr>
                            <w:fldChar w:fldCharType="separate"/>
                          </w:r>
                          <w:r>
                            <w:rPr>
                              <w:rFonts w:hint="eastAsia" w:ascii="宋体" w:hAnsi="宋体" w:eastAsia="宋体" w:cs="宋体"/>
                              <w:b/>
                              <w:bCs/>
                              <w:sz w:val="21"/>
                              <w:szCs w:val="28"/>
                              <w:lang w:eastAsia="zh-CN"/>
                            </w:rPr>
                            <w:t>- 1 -</w:t>
                          </w:r>
                          <w:r>
                            <w:rPr>
                              <w:rFonts w:hint="eastAsia" w:ascii="宋体" w:hAnsi="宋体" w:eastAsia="宋体" w:cs="宋体"/>
                              <w:b/>
                              <w:bCs/>
                              <w:sz w:val="21"/>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17"/>
                      <w:rPr>
                        <w:rFonts w:hint="eastAsia" w:eastAsia="等线"/>
                        <w:lang w:eastAsia="zh-CN"/>
                      </w:rPr>
                    </w:pPr>
                    <w:r>
                      <w:rPr>
                        <w:rFonts w:hint="eastAsia" w:ascii="宋体" w:hAnsi="宋体" w:eastAsia="宋体" w:cs="宋体"/>
                        <w:b/>
                        <w:bCs/>
                        <w:sz w:val="21"/>
                        <w:szCs w:val="28"/>
                        <w:lang w:eastAsia="zh-CN"/>
                      </w:rPr>
                      <w:fldChar w:fldCharType="begin"/>
                    </w:r>
                    <w:r>
                      <w:rPr>
                        <w:rFonts w:hint="eastAsia" w:ascii="宋体" w:hAnsi="宋体" w:eastAsia="宋体" w:cs="宋体"/>
                        <w:b/>
                        <w:bCs/>
                        <w:sz w:val="21"/>
                        <w:szCs w:val="28"/>
                        <w:lang w:eastAsia="zh-CN"/>
                      </w:rPr>
                      <w:instrText xml:space="preserve"> PAGE  \* MERGEFORMAT </w:instrText>
                    </w:r>
                    <w:r>
                      <w:rPr>
                        <w:rFonts w:hint="eastAsia" w:ascii="宋体" w:hAnsi="宋体" w:eastAsia="宋体" w:cs="宋体"/>
                        <w:b/>
                        <w:bCs/>
                        <w:sz w:val="21"/>
                        <w:szCs w:val="28"/>
                        <w:lang w:eastAsia="zh-CN"/>
                      </w:rPr>
                      <w:fldChar w:fldCharType="separate"/>
                    </w:r>
                    <w:r>
                      <w:rPr>
                        <w:rFonts w:hint="eastAsia" w:ascii="宋体" w:hAnsi="宋体" w:eastAsia="宋体" w:cs="宋体"/>
                        <w:b/>
                        <w:bCs/>
                        <w:sz w:val="21"/>
                        <w:szCs w:val="28"/>
                        <w:lang w:eastAsia="zh-CN"/>
                      </w:rPr>
                      <w:t>- 1 -</w:t>
                    </w:r>
                    <w:r>
                      <w:rPr>
                        <w:rFonts w:hint="eastAsia" w:ascii="宋体" w:hAnsi="宋体" w:eastAsia="宋体" w:cs="宋体"/>
                        <w:b/>
                        <w:bCs/>
                        <w:sz w:val="21"/>
                        <w:szCs w:val="28"/>
                        <w:lang w:eastAsia="zh-CN"/>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0340" cy="17907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0340" cy="1790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asciiTheme="minorEastAsia" w:hAnsiTheme="minorEastAsia" w:eastAsiaTheme="minorEastAsia" w:cstheme="minorEastAsia"/>
                              <w:b/>
                              <w:bCs/>
                              <w:sz w:val="21"/>
                              <w:szCs w:val="28"/>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4.1pt;width:14.2pt;mso-position-horizontal:outside;mso-position-horizontal-relative:margin;z-index:251661312;mso-width-relative:page;mso-height-relative:page;" filled="f" stroked="f" coordsize="21600,21600" o:gfxdata="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Jvif7SAAAAAwEAAA8AAAAAAAAAAQAg&#10;AAAAIgAAAGRycy9kb3ducmV2LnhtbFBLAQIUABQAAAAIAIdO4kB8Qc5PFAIAAAcEAAAOAAAAAAAA&#10;AAEAIAAAACEBAABkcnMvZTJvRG9jLnhtbFBLBQYAAAAABgAGAFkBAACnBQAAAAA=&#10;">
              <v:fill on="f" focussize="0,0"/>
              <v:stroke on="f" weight="0.5pt"/>
              <v:imagedata o:title=""/>
              <o:lock v:ext="edit" aspectratio="f"/>
              <v:textbox inset="0mm,0mm,0mm,0mm">
                <w:txbxContent>
                  <w:p>
                    <w:pPr>
                      <w:pStyle w:val="17"/>
                      <w:rPr>
                        <w:rFonts w:asciiTheme="minorEastAsia" w:hAnsiTheme="minorEastAsia" w:eastAsiaTheme="minorEastAsia" w:cstheme="minorEastAsia"/>
                        <w:b/>
                        <w:bCs/>
                        <w:sz w:val="21"/>
                        <w:szCs w:val="2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5D523F"/>
    <w:multiLevelType w:val="singleLevel"/>
    <w:tmpl w:val="DB5D523F"/>
    <w:lvl w:ilvl="0" w:tentative="0">
      <w:start w:val="6"/>
      <w:numFmt w:val="chineseCounting"/>
      <w:suff w:val="nothing"/>
      <w:lvlText w:val="%1、"/>
      <w:lvlJc w:val="left"/>
      <w:rPr>
        <w:rFonts w:hint="eastAsia"/>
      </w:rPr>
    </w:lvl>
  </w:abstractNum>
  <w:abstractNum w:abstractNumId="1">
    <w:nsid w:val="EF164756"/>
    <w:multiLevelType w:val="singleLevel"/>
    <w:tmpl w:val="EF164756"/>
    <w:lvl w:ilvl="0" w:tentative="0">
      <w:start w:val="9"/>
      <w:numFmt w:val="chineseCounting"/>
      <w:suff w:val="nothing"/>
      <w:lvlText w:val="%1、"/>
      <w:lvlJc w:val="left"/>
      <w:rPr>
        <w:rFonts w:hint="eastAsia"/>
      </w:rPr>
    </w:lvl>
  </w:abstractNum>
  <w:abstractNum w:abstractNumId="2">
    <w:nsid w:val="1210BB3E"/>
    <w:multiLevelType w:val="singleLevel"/>
    <w:tmpl w:val="1210BB3E"/>
    <w:lvl w:ilvl="0" w:tentative="0">
      <w:start w:val="1"/>
      <w:numFmt w:val="chineseCounting"/>
      <w:suff w:val="nothing"/>
      <w:lvlText w:val="（%1）"/>
      <w:lvlJc w:val="left"/>
      <w:pPr>
        <w:ind w:left="0" w:firstLine="420"/>
      </w:pPr>
      <w:rPr>
        <w:rFonts w:hint="eastAsia"/>
      </w:rPr>
    </w:lvl>
  </w:abstractNum>
  <w:abstractNum w:abstractNumId="3">
    <w:nsid w:val="15D57D22"/>
    <w:multiLevelType w:val="singleLevel"/>
    <w:tmpl w:val="15D57D22"/>
    <w:lvl w:ilvl="0" w:tentative="0">
      <w:start w:val="1"/>
      <w:numFmt w:val="chineseCounting"/>
      <w:suff w:val="nothing"/>
      <w:lvlText w:val="（%1）"/>
      <w:lvlJc w:val="left"/>
      <w:pPr>
        <w:ind w:left="0" w:firstLine="420"/>
      </w:pPr>
      <w:rPr>
        <w:rFonts w:hint="eastAsia"/>
      </w:rPr>
    </w:lvl>
  </w:abstractNum>
  <w:abstractNum w:abstractNumId="4">
    <w:nsid w:val="5123B2AF"/>
    <w:multiLevelType w:val="singleLevel"/>
    <w:tmpl w:val="5123B2AF"/>
    <w:lvl w:ilvl="0" w:tentative="0">
      <w:start w:val="1"/>
      <w:numFmt w:val="chineseCounting"/>
      <w:suff w:val="space"/>
      <w:lvlText w:val="第%1章"/>
      <w:lvlJc w:val="left"/>
      <w:rPr>
        <w:rFonts w:hint="eastAsia"/>
      </w:rPr>
    </w:lvl>
  </w:abstractNum>
  <w:abstractNum w:abstractNumId="5">
    <w:nsid w:val="6C2DDFC5"/>
    <w:multiLevelType w:val="singleLevel"/>
    <w:tmpl w:val="6C2DDFC5"/>
    <w:lvl w:ilvl="0" w:tentative="0">
      <w:start w:val="5"/>
      <w:numFmt w:val="chineseCounting"/>
      <w:suff w:val="space"/>
      <w:lvlText w:val="第%1章"/>
      <w:lvlJc w:val="left"/>
      <w:rPr>
        <w:rFonts w:hint="eastAsia"/>
      </w:r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xMjRjZGZlYmRmNDc5ZTg3ZWUyZjc3Y2ZlMzRmMWEifQ=="/>
  </w:docVars>
  <w:rsids>
    <w:rsidRoot w:val="59B97E6B"/>
    <w:rsid w:val="00001556"/>
    <w:rsid w:val="00001E4B"/>
    <w:rsid w:val="00004C35"/>
    <w:rsid w:val="00005CBA"/>
    <w:rsid w:val="000063F5"/>
    <w:rsid w:val="000066E1"/>
    <w:rsid w:val="000109E0"/>
    <w:rsid w:val="00014C20"/>
    <w:rsid w:val="00015961"/>
    <w:rsid w:val="0001712D"/>
    <w:rsid w:val="00017B1D"/>
    <w:rsid w:val="00022B08"/>
    <w:rsid w:val="000243B4"/>
    <w:rsid w:val="0002585A"/>
    <w:rsid w:val="0002704B"/>
    <w:rsid w:val="00032483"/>
    <w:rsid w:val="00032ED1"/>
    <w:rsid w:val="00033C8D"/>
    <w:rsid w:val="00036D34"/>
    <w:rsid w:val="00040A84"/>
    <w:rsid w:val="00040B0A"/>
    <w:rsid w:val="000420B4"/>
    <w:rsid w:val="00045D8A"/>
    <w:rsid w:val="00045E4E"/>
    <w:rsid w:val="00051637"/>
    <w:rsid w:val="00052694"/>
    <w:rsid w:val="00053F99"/>
    <w:rsid w:val="00054B9F"/>
    <w:rsid w:val="00062328"/>
    <w:rsid w:val="000644C3"/>
    <w:rsid w:val="00065578"/>
    <w:rsid w:val="00066A56"/>
    <w:rsid w:val="0006707A"/>
    <w:rsid w:val="000675C4"/>
    <w:rsid w:val="000708D3"/>
    <w:rsid w:val="00072678"/>
    <w:rsid w:val="00072709"/>
    <w:rsid w:val="00076198"/>
    <w:rsid w:val="000761AD"/>
    <w:rsid w:val="00080D9A"/>
    <w:rsid w:val="0008214F"/>
    <w:rsid w:val="000832DB"/>
    <w:rsid w:val="00085FD3"/>
    <w:rsid w:val="00087CAF"/>
    <w:rsid w:val="00091C3F"/>
    <w:rsid w:val="00091E1A"/>
    <w:rsid w:val="0009231B"/>
    <w:rsid w:val="000A1BAE"/>
    <w:rsid w:val="000A2A24"/>
    <w:rsid w:val="000A2AA2"/>
    <w:rsid w:val="000A2FA6"/>
    <w:rsid w:val="000A6035"/>
    <w:rsid w:val="000A6351"/>
    <w:rsid w:val="000A7834"/>
    <w:rsid w:val="000A7FD9"/>
    <w:rsid w:val="000B0240"/>
    <w:rsid w:val="000B0EFC"/>
    <w:rsid w:val="000B2A94"/>
    <w:rsid w:val="000B49EC"/>
    <w:rsid w:val="000B53D2"/>
    <w:rsid w:val="000B7B9E"/>
    <w:rsid w:val="000C001F"/>
    <w:rsid w:val="000C53AC"/>
    <w:rsid w:val="000C5B76"/>
    <w:rsid w:val="000D1D0B"/>
    <w:rsid w:val="000D5D5B"/>
    <w:rsid w:val="000D7EAA"/>
    <w:rsid w:val="000E0096"/>
    <w:rsid w:val="000E1060"/>
    <w:rsid w:val="000E2534"/>
    <w:rsid w:val="000E4F9D"/>
    <w:rsid w:val="000E51E8"/>
    <w:rsid w:val="000E5719"/>
    <w:rsid w:val="000F54A5"/>
    <w:rsid w:val="000F60A2"/>
    <w:rsid w:val="000F6707"/>
    <w:rsid w:val="00101ABC"/>
    <w:rsid w:val="001021D2"/>
    <w:rsid w:val="00105F4F"/>
    <w:rsid w:val="001068C9"/>
    <w:rsid w:val="001073BC"/>
    <w:rsid w:val="0010762B"/>
    <w:rsid w:val="00111A39"/>
    <w:rsid w:val="00112C5F"/>
    <w:rsid w:val="00115265"/>
    <w:rsid w:val="001164CA"/>
    <w:rsid w:val="001207A2"/>
    <w:rsid w:val="0012389A"/>
    <w:rsid w:val="00124526"/>
    <w:rsid w:val="001320E9"/>
    <w:rsid w:val="001331AF"/>
    <w:rsid w:val="001363BC"/>
    <w:rsid w:val="001366CD"/>
    <w:rsid w:val="00140254"/>
    <w:rsid w:val="00143184"/>
    <w:rsid w:val="0014490E"/>
    <w:rsid w:val="001508EB"/>
    <w:rsid w:val="001519DF"/>
    <w:rsid w:val="0015303A"/>
    <w:rsid w:val="00153D11"/>
    <w:rsid w:val="001613D9"/>
    <w:rsid w:val="00161FEA"/>
    <w:rsid w:val="00172A37"/>
    <w:rsid w:val="00172B9C"/>
    <w:rsid w:val="001740C5"/>
    <w:rsid w:val="00175097"/>
    <w:rsid w:val="001773BE"/>
    <w:rsid w:val="00180191"/>
    <w:rsid w:val="001832FD"/>
    <w:rsid w:val="0018576C"/>
    <w:rsid w:val="00186CE8"/>
    <w:rsid w:val="001907F5"/>
    <w:rsid w:val="0019599E"/>
    <w:rsid w:val="00196339"/>
    <w:rsid w:val="00196F91"/>
    <w:rsid w:val="00197CA6"/>
    <w:rsid w:val="001A31BC"/>
    <w:rsid w:val="001A40ED"/>
    <w:rsid w:val="001B459C"/>
    <w:rsid w:val="001B6D14"/>
    <w:rsid w:val="001B71B8"/>
    <w:rsid w:val="001B71FA"/>
    <w:rsid w:val="001B7C86"/>
    <w:rsid w:val="001C0360"/>
    <w:rsid w:val="001C17D9"/>
    <w:rsid w:val="001C3C19"/>
    <w:rsid w:val="001C3F04"/>
    <w:rsid w:val="001C4549"/>
    <w:rsid w:val="001D064D"/>
    <w:rsid w:val="001D1AF8"/>
    <w:rsid w:val="001D4A35"/>
    <w:rsid w:val="001D5618"/>
    <w:rsid w:val="001E1610"/>
    <w:rsid w:val="001E1B3D"/>
    <w:rsid w:val="001E1D61"/>
    <w:rsid w:val="001E3974"/>
    <w:rsid w:val="001E6370"/>
    <w:rsid w:val="001E6644"/>
    <w:rsid w:val="001E6917"/>
    <w:rsid w:val="001E6F55"/>
    <w:rsid w:val="001E6FD4"/>
    <w:rsid w:val="001F1B17"/>
    <w:rsid w:val="001F29FB"/>
    <w:rsid w:val="001F5D2A"/>
    <w:rsid w:val="001F61EB"/>
    <w:rsid w:val="002012D5"/>
    <w:rsid w:val="0020396E"/>
    <w:rsid w:val="00205260"/>
    <w:rsid w:val="002053A1"/>
    <w:rsid w:val="0020772E"/>
    <w:rsid w:val="00212F7B"/>
    <w:rsid w:val="0021407C"/>
    <w:rsid w:val="00216E57"/>
    <w:rsid w:val="002204DF"/>
    <w:rsid w:val="0022089A"/>
    <w:rsid w:val="00220E48"/>
    <w:rsid w:val="002241E4"/>
    <w:rsid w:val="002309C0"/>
    <w:rsid w:val="00231BBB"/>
    <w:rsid w:val="002322BB"/>
    <w:rsid w:val="002325DF"/>
    <w:rsid w:val="00233F15"/>
    <w:rsid w:val="00237A74"/>
    <w:rsid w:val="00240D5A"/>
    <w:rsid w:val="0024133B"/>
    <w:rsid w:val="0024458E"/>
    <w:rsid w:val="002466B3"/>
    <w:rsid w:val="00251530"/>
    <w:rsid w:val="00253B28"/>
    <w:rsid w:val="00264250"/>
    <w:rsid w:val="00264BE4"/>
    <w:rsid w:val="00265C72"/>
    <w:rsid w:val="00265D10"/>
    <w:rsid w:val="002675C6"/>
    <w:rsid w:val="00272128"/>
    <w:rsid w:val="00272139"/>
    <w:rsid w:val="0027220C"/>
    <w:rsid w:val="002725C0"/>
    <w:rsid w:val="00276405"/>
    <w:rsid w:val="00277614"/>
    <w:rsid w:val="00280209"/>
    <w:rsid w:val="00280593"/>
    <w:rsid w:val="002806AA"/>
    <w:rsid w:val="00280E5B"/>
    <w:rsid w:val="00281A77"/>
    <w:rsid w:val="002838C5"/>
    <w:rsid w:val="0028641B"/>
    <w:rsid w:val="002864E5"/>
    <w:rsid w:val="00291899"/>
    <w:rsid w:val="00292361"/>
    <w:rsid w:val="00293F72"/>
    <w:rsid w:val="002954E2"/>
    <w:rsid w:val="00296B5C"/>
    <w:rsid w:val="002A3277"/>
    <w:rsid w:val="002A3D82"/>
    <w:rsid w:val="002A73E8"/>
    <w:rsid w:val="002B0D3F"/>
    <w:rsid w:val="002B3A53"/>
    <w:rsid w:val="002B690D"/>
    <w:rsid w:val="002B69D1"/>
    <w:rsid w:val="002C046C"/>
    <w:rsid w:val="002C2BBA"/>
    <w:rsid w:val="002C3B85"/>
    <w:rsid w:val="002C3E1B"/>
    <w:rsid w:val="002C5B2D"/>
    <w:rsid w:val="002C78BA"/>
    <w:rsid w:val="002D0161"/>
    <w:rsid w:val="002D079C"/>
    <w:rsid w:val="002D28DE"/>
    <w:rsid w:val="002D3ED6"/>
    <w:rsid w:val="002D557C"/>
    <w:rsid w:val="002D5B29"/>
    <w:rsid w:val="002D660C"/>
    <w:rsid w:val="002D72E3"/>
    <w:rsid w:val="002D7D02"/>
    <w:rsid w:val="002E168F"/>
    <w:rsid w:val="002E1911"/>
    <w:rsid w:val="002E1C20"/>
    <w:rsid w:val="002E5AC7"/>
    <w:rsid w:val="002F0994"/>
    <w:rsid w:val="002F1C63"/>
    <w:rsid w:val="002F2567"/>
    <w:rsid w:val="002F3087"/>
    <w:rsid w:val="002F4116"/>
    <w:rsid w:val="002F439A"/>
    <w:rsid w:val="002F7181"/>
    <w:rsid w:val="003041D6"/>
    <w:rsid w:val="003046D8"/>
    <w:rsid w:val="00305590"/>
    <w:rsid w:val="00311A99"/>
    <w:rsid w:val="00312DC9"/>
    <w:rsid w:val="003142FD"/>
    <w:rsid w:val="003215FB"/>
    <w:rsid w:val="003218F2"/>
    <w:rsid w:val="00323C6C"/>
    <w:rsid w:val="00324A4D"/>
    <w:rsid w:val="003253D9"/>
    <w:rsid w:val="00333045"/>
    <w:rsid w:val="00336F74"/>
    <w:rsid w:val="003423F2"/>
    <w:rsid w:val="00343516"/>
    <w:rsid w:val="00343B73"/>
    <w:rsid w:val="00346B63"/>
    <w:rsid w:val="00350EAC"/>
    <w:rsid w:val="003529AD"/>
    <w:rsid w:val="00353B62"/>
    <w:rsid w:val="0036064D"/>
    <w:rsid w:val="003615B3"/>
    <w:rsid w:val="003639AD"/>
    <w:rsid w:val="00363E19"/>
    <w:rsid w:val="00364FF4"/>
    <w:rsid w:val="00365459"/>
    <w:rsid w:val="003664AA"/>
    <w:rsid w:val="003767D5"/>
    <w:rsid w:val="0038172D"/>
    <w:rsid w:val="00382709"/>
    <w:rsid w:val="003844B8"/>
    <w:rsid w:val="00385271"/>
    <w:rsid w:val="00385B46"/>
    <w:rsid w:val="00390A82"/>
    <w:rsid w:val="003912D3"/>
    <w:rsid w:val="0039175E"/>
    <w:rsid w:val="00391C84"/>
    <w:rsid w:val="0039215E"/>
    <w:rsid w:val="00394681"/>
    <w:rsid w:val="00396CCC"/>
    <w:rsid w:val="0039752F"/>
    <w:rsid w:val="00397CA1"/>
    <w:rsid w:val="00397EB0"/>
    <w:rsid w:val="003A05D8"/>
    <w:rsid w:val="003A0DBA"/>
    <w:rsid w:val="003A3209"/>
    <w:rsid w:val="003A391A"/>
    <w:rsid w:val="003A3A8A"/>
    <w:rsid w:val="003A44BF"/>
    <w:rsid w:val="003A7B10"/>
    <w:rsid w:val="003B18D7"/>
    <w:rsid w:val="003B29A8"/>
    <w:rsid w:val="003B3777"/>
    <w:rsid w:val="003B3ABE"/>
    <w:rsid w:val="003B4C7B"/>
    <w:rsid w:val="003B62D8"/>
    <w:rsid w:val="003C24E5"/>
    <w:rsid w:val="003C4DDB"/>
    <w:rsid w:val="003C5087"/>
    <w:rsid w:val="003C5696"/>
    <w:rsid w:val="003C5F02"/>
    <w:rsid w:val="003C6889"/>
    <w:rsid w:val="003C6C09"/>
    <w:rsid w:val="003D164F"/>
    <w:rsid w:val="003D2210"/>
    <w:rsid w:val="003D30C8"/>
    <w:rsid w:val="003D3927"/>
    <w:rsid w:val="003D479B"/>
    <w:rsid w:val="003D543C"/>
    <w:rsid w:val="003D5A00"/>
    <w:rsid w:val="003D76F4"/>
    <w:rsid w:val="003D7B4B"/>
    <w:rsid w:val="003D7CE8"/>
    <w:rsid w:val="003E19B3"/>
    <w:rsid w:val="003E225F"/>
    <w:rsid w:val="003E282A"/>
    <w:rsid w:val="003F084F"/>
    <w:rsid w:val="003F092B"/>
    <w:rsid w:val="003F1C8B"/>
    <w:rsid w:val="003F2FA0"/>
    <w:rsid w:val="003F4966"/>
    <w:rsid w:val="003F6C7A"/>
    <w:rsid w:val="003F7D99"/>
    <w:rsid w:val="00400BA6"/>
    <w:rsid w:val="004019B2"/>
    <w:rsid w:val="004028D3"/>
    <w:rsid w:val="00402FFB"/>
    <w:rsid w:val="00406B82"/>
    <w:rsid w:val="00413CE9"/>
    <w:rsid w:val="00413D73"/>
    <w:rsid w:val="00416364"/>
    <w:rsid w:val="004179E1"/>
    <w:rsid w:val="00417DBA"/>
    <w:rsid w:val="0042095E"/>
    <w:rsid w:val="004266C1"/>
    <w:rsid w:val="00430069"/>
    <w:rsid w:val="004340CF"/>
    <w:rsid w:val="00436EF8"/>
    <w:rsid w:val="00441554"/>
    <w:rsid w:val="00441FBA"/>
    <w:rsid w:val="004468B1"/>
    <w:rsid w:val="004508DD"/>
    <w:rsid w:val="004531EF"/>
    <w:rsid w:val="00455843"/>
    <w:rsid w:val="004611FA"/>
    <w:rsid w:val="0046254B"/>
    <w:rsid w:val="00462604"/>
    <w:rsid w:val="00463514"/>
    <w:rsid w:val="00464908"/>
    <w:rsid w:val="00465DB0"/>
    <w:rsid w:val="00465EC7"/>
    <w:rsid w:val="0047106F"/>
    <w:rsid w:val="00475236"/>
    <w:rsid w:val="0048099F"/>
    <w:rsid w:val="00480B6A"/>
    <w:rsid w:val="00481DF7"/>
    <w:rsid w:val="00483CB1"/>
    <w:rsid w:val="00485EBF"/>
    <w:rsid w:val="004871A4"/>
    <w:rsid w:val="0049412F"/>
    <w:rsid w:val="004A2DEB"/>
    <w:rsid w:val="004A42C1"/>
    <w:rsid w:val="004A4A04"/>
    <w:rsid w:val="004A5B8B"/>
    <w:rsid w:val="004A6492"/>
    <w:rsid w:val="004A6A35"/>
    <w:rsid w:val="004A7A59"/>
    <w:rsid w:val="004B10F9"/>
    <w:rsid w:val="004B488A"/>
    <w:rsid w:val="004C02BA"/>
    <w:rsid w:val="004C1747"/>
    <w:rsid w:val="004C2A90"/>
    <w:rsid w:val="004C52D1"/>
    <w:rsid w:val="004C6AA6"/>
    <w:rsid w:val="004C7188"/>
    <w:rsid w:val="004D2314"/>
    <w:rsid w:val="004D4604"/>
    <w:rsid w:val="004D4D73"/>
    <w:rsid w:val="004E1239"/>
    <w:rsid w:val="004E21F7"/>
    <w:rsid w:val="004E4DA4"/>
    <w:rsid w:val="004F0B95"/>
    <w:rsid w:val="004F129D"/>
    <w:rsid w:val="004F73C4"/>
    <w:rsid w:val="0050068E"/>
    <w:rsid w:val="005033EE"/>
    <w:rsid w:val="00503549"/>
    <w:rsid w:val="005051F8"/>
    <w:rsid w:val="00515BFF"/>
    <w:rsid w:val="0052071B"/>
    <w:rsid w:val="005226A7"/>
    <w:rsid w:val="00524C21"/>
    <w:rsid w:val="005252BE"/>
    <w:rsid w:val="005305E7"/>
    <w:rsid w:val="00530DBE"/>
    <w:rsid w:val="0053323E"/>
    <w:rsid w:val="005335CA"/>
    <w:rsid w:val="005361B1"/>
    <w:rsid w:val="00540A27"/>
    <w:rsid w:val="00540B65"/>
    <w:rsid w:val="00541357"/>
    <w:rsid w:val="00541476"/>
    <w:rsid w:val="0055158A"/>
    <w:rsid w:val="0056420E"/>
    <w:rsid w:val="00565C6C"/>
    <w:rsid w:val="00566D98"/>
    <w:rsid w:val="00567AC7"/>
    <w:rsid w:val="005726B3"/>
    <w:rsid w:val="005729DA"/>
    <w:rsid w:val="00572C99"/>
    <w:rsid w:val="005759CB"/>
    <w:rsid w:val="005771C9"/>
    <w:rsid w:val="005774CC"/>
    <w:rsid w:val="00577A38"/>
    <w:rsid w:val="00580478"/>
    <w:rsid w:val="00580B6B"/>
    <w:rsid w:val="005815C2"/>
    <w:rsid w:val="005833A1"/>
    <w:rsid w:val="005866D5"/>
    <w:rsid w:val="00586E61"/>
    <w:rsid w:val="0059041C"/>
    <w:rsid w:val="00591ACC"/>
    <w:rsid w:val="00594B7D"/>
    <w:rsid w:val="0059786E"/>
    <w:rsid w:val="005A06F5"/>
    <w:rsid w:val="005A7601"/>
    <w:rsid w:val="005A7671"/>
    <w:rsid w:val="005A7DFB"/>
    <w:rsid w:val="005B680E"/>
    <w:rsid w:val="005B6A3E"/>
    <w:rsid w:val="005C1923"/>
    <w:rsid w:val="005C2346"/>
    <w:rsid w:val="005C2FB8"/>
    <w:rsid w:val="005C381B"/>
    <w:rsid w:val="005C5C88"/>
    <w:rsid w:val="005C66D8"/>
    <w:rsid w:val="005D0CDB"/>
    <w:rsid w:val="005D244D"/>
    <w:rsid w:val="005D4170"/>
    <w:rsid w:val="005E386C"/>
    <w:rsid w:val="005E4000"/>
    <w:rsid w:val="005E6165"/>
    <w:rsid w:val="005E62D5"/>
    <w:rsid w:val="005E74B5"/>
    <w:rsid w:val="005E7585"/>
    <w:rsid w:val="005F0D54"/>
    <w:rsid w:val="005F1953"/>
    <w:rsid w:val="005F3F19"/>
    <w:rsid w:val="00600959"/>
    <w:rsid w:val="006013A4"/>
    <w:rsid w:val="00604C79"/>
    <w:rsid w:val="006054E6"/>
    <w:rsid w:val="006064F2"/>
    <w:rsid w:val="006102A8"/>
    <w:rsid w:val="00612D75"/>
    <w:rsid w:val="0061311F"/>
    <w:rsid w:val="00613387"/>
    <w:rsid w:val="006240E4"/>
    <w:rsid w:val="0063685C"/>
    <w:rsid w:val="00642219"/>
    <w:rsid w:val="0064319D"/>
    <w:rsid w:val="00643268"/>
    <w:rsid w:val="006462C6"/>
    <w:rsid w:val="006514A1"/>
    <w:rsid w:val="006526A7"/>
    <w:rsid w:val="006533E0"/>
    <w:rsid w:val="00655BC6"/>
    <w:rsid w:val="00656B14"/>
    <w:rsid w:val="00657313"/>
    <w:rsid w:val="006608F3"/>
    <w:rsid w:val="006622CD"/>
    <w:rsid w:val="00662E84"/>
    <w:rsid w:val="006631CD"/>
    <w:rsid w:val="0066356F"/>
    <w:rsid w:val="00664F9C"/>
    <w:rsid w:val="00665061"/>
    <w:rsid w:val="006670D4"/>
    <w:rsid w:val="00670957"/>
    <w:rsid w:val="00674499"/>
    <w:rsid w:val="00675459"/>
    <w:rsid w:val="006768BA"/>
    <w:rsid w:val="00676984"/>
    <w:rsid w:val="00677FD9"/>
    <w:rsid w:val="006810E3"/>
    <w:rsid w:val="00681838"/>
    <w:rsid w:val="00681E38"/>
    <w:rsid w:val="00682362"/>
    <w:rsid w:val="00682B37"/>
    <w:rsid w:val="00684360"/>
    <w:rsid w:val="006861A7"/>
    <w:rsid w:val="006871C1"/>
    <w:rsid w:val="006921DF"/>
    <w:rsid w:val="00695B27"/>
    <w:rsid w:val="006A6B21"/>
    <w:rsid w:val="006A7AE0"/>
    <w:rsid w:val="006B0415"/>
    <w:rsid w:val="006B541A"/>
    <w:rsid w:val="006B5547"/>
    <w:rsid w:val="006C48CC"/>
    <w:rsid w:val="006C69E0"/>
    <w:rsid w:val="006D002B"/>
    <w:rsid w:val="006D1CA4"/>
    <w:rsid w:val="006D3921"/>
    <w:rsid w:val="006D4523"/>
    <w:rsid w:val="006E4C1D"/>
    <w:rsid w:val="006E4F6C"/>
    <w:rsid w:val="006E60D6"/>
    <w:rsid w:val="006E79A5"/>
    <w:rsid w:val="006F53C5"/>
    <w:rsid w:val="006F7790"/>
    <w:rsid w:val="00700004"/>
    <w:rsid w:val="007024ED"/>
    <w:rsid w:val="007113EA"/>
    <w:rsid w:val="00715672"/>
    <w:rsid w:val="007161A8"/>
    <w:rsid w:val="00717FEA"/>
    <w:rsid w:val="0072235E"/>
    <w:rsid w:val="007242CE"/>
    <w:rsid w:val="00724A65"/>
    <w:rsid w:val="00732AB9"/>
    <w:rsid w:val="0073549F"/>
    <w:rsid w:val="00735C5A"/>
    <w:rsid w:val="0073615E"/>
    <w:rsid w:val="00736AD2"/>
    <w:rsid w:val="007430D9"/>
    <w:rsid w:val="00743D1D"/>
    <w:rsid w:val="007448B5"/>
    <w:rsid w:val="00746630"/>
    <w:rsid w:val="00746CAF"/>
    <w:rsid w:val="00750FF9"/>
    <w:rsid w:val="00752408"/>
    <w:rsid w:val="00753F07"/>
    <w:rsid w:val="00755935"/>
    <w:rsid w:val="007571B5"/>
    <w:rsid w:val="00757BEA"/>
    <w:rsid w:val="0076075B"/>
    <w:rsid w:val="007630AD"/>
    <w:rsid w:val="00763451"/>
    <w:rsid w:val="00773C97"/>
    <w:rsid w:val="00774043"/>
    <w:rsid w:val="00776624"/>
    <w:rsid w:val="00782BF7"/>
    <w:rsid w:val="00783795"/>
    <w:rsid w:val="00783DB6"/>
    <w:rsid w:val="00785579"/>
    <w:rsid w:val="00785FE3"/>
    <w:rsid w:val="0079235D"/>
    <w:rsid w:val="00792815"/>
    <w:rsid w:val="007961AC"/>
    <w:rsid w:val="0079686F"/>
    <w:rsid w:val="007A0C31"/>
    <w:rsid w:val="007A2317"/>
    <w:rsid w:val="007A34DF"/>
    <w:rsid w:val="007A618D"/>
    <w:rsid w:val="007B124C"/>
    <w:rsid w:val="007B1D94"/>
    <w:rsid w:val="007B4832"/>
    <w:rsid w:val="007C64E5"/>
    <w:rsid w:val="007C767F"/>
    <w:rsid w:val="007C7AA6"/>
    <w:rsid w:val="007D102D"/>
    <w:rsid w:val="007D2F53"/>
    <w:rsid w:val="007D40FF"/>
    <w:rsid w:val="007D4F0F"/>
    <w:rsid w:val="007E69CE"/>
    <w:rsid w:val="007E6D78"/>
    <w:rsid w:val="007F06E9"/>
    <w:rsid w:val="007F2F56"/>
    <w:rsid w:val="007F5F77"/>
    <w:rsid w:val="007F7546"/>
    <w:rsid w:val="007F7C64"/>
    <w:rsid w:val="007F7CE1"/>
    <w:rsid w:val="008005C3"/>
    <w:rsid w:val="008016A9"/>
    <w:rsid w:val="00801ABF"/>
    <w:rsid w:val="00802803"/>
    <w:rsid w:val="00802CB1"/>
    <w:rsid w:val="00803A95"/>
    <w:rsid w:val="00810678"/>
    <w:rsid w:val="00812080"/>
    <w:rsid w:val="008133BF"/>
    <w:rsid w:val="008134F9"/>
    <w:rsid w:val="00815671"/>
    <w:rsid w:val="008200F2"/>
    <w:rsid w:val="00821937"/>
    <w:rsid w:val="00824237"/>
    <w:rsid w:val="00825C42"/>
    <w:rsid w:val="00827B71"/>
    <w:rsid w:val="00830A1E"/>
    <w:rsid w:val="00835BF6"/>
    <w:rsid w:val="008422A7"/>
    <w:rsid w:val="00842C3D"/>
    <w:rsid w:val="008431E0"/>
    <w:rsid w:val="00843F51"/>
    <w:rsid w:val="00844060"/>
    <w:rsid w:val="00844212"/>
    <w:rsid w:val="00851885"/>
    <w:rsid w:val="00852108"/>
    <w:rsid w:val="0085256B"/>
    <w:rsid w:val="00855645"/>
    <w:rsid w:val="008558F3"/>
    <w:rsid w:val="0085623A"/>
    <w:rsid w:val="00860E3C"/>
    <w:rsid w:val="0086523E"/>
    <w:rsid w:val="008679D2"/>
    <w:rsid w:val="00870110"/>
    <w:rsid w:val="00871536"/>
    <w:rsid w:val="00871A75"/>
    <w:rsid w:val="0087467B"/>
    <w:rsid w:val="00874CAC"/>
    <w:rsid w:val="008779FD"/>
    <w:rsid w:val="00881589"/>
    <w:rsid w:val="008817D8"/>
    <w:rsid w:val="00881A04"/>
    <w:rsid w:val="00883153"/>
    <w:rsid w:val="00884978"/>
    <w:rsid w:val="00885040"/>
    <w:rsid w:val="008861D7"/>
    <w:rsid w:val="00890E51"/>
    <w:rsid w:val="008926CC"/>
    <w:rsid w:val="00895912"/>
    <w:rsid w:val="00896B12"/>
    <w:rsid w:val="00897DB8"/>
    <w:rsid w:val="008A4A0B"/>
    <w:rsid w:val="008A524D"/>
    <w:rsid w:val="008A6D52"/>
    <w:rsid w:val="008B0771"/>
    <w:rsid w:val="008B6220"/>
    <w:rsid w:val="008C0D49"/>
    <w:rsid w:val="008C52E2"/>
    <w:rsid w:val="008C7883"/>
    <w:rsid w:val="008D5556"/>
    <w:rsid w:val="008E305D"/>
    <w:rsid w:val="008E3FF1"/>
    <w:rsid w:val="008E41A4"/>
    <w:rsid w:val="008E47EA"/>
    <w:rsid w:val="008E6865"/>
    <w:rsid w:val="008E7BED"/>
    <w:rsid w:val="008F68B3"/>
    <w:rsid w:val="008F68D3"/>
    <w:rsid w:val="008F79D2"/>
    <w:rsid w:val="00902C76"/>
    <w:rsid w:val="00907A3D"/>
    <w:rsid w:val="0091390E"/>
    <w:rsid w:val="0091392E"/>
    <w:rsid w:val="00914262"/>
    <w:rsid w:val="00916487"/>
    <w:rsid w:val="009168AD"/>
    <w:rsid w:val="009274B4"/>
    <w:rsid w:val="00937813"/>
    <w:rsid w:val="009437AB"/>
    <w:rsid w:val="00943BDC"/>
    <w:rsid w:val="00944C1A"/>
    <w:rsid w:val="00944CDE"/>
    <w:rsid w:val="009454DB"/>
    <w:rsid w:val="00946404"/>
    <w:rsid w:val="00951492"/>
    <w:rsid w:val="00952AC2"/>
    <w:rsid w:val="0095546A"/>
    <w:rsid w:val="0095719B"/>
    <w:rsid w:val="00957FB4"/>
    <w:rsid w:val="00970808"/>
    <w:rsid w:val="00971133"/>
    <w:rsid w:val="00974931"/>
    <w:rsid w:val="00974942"/>
    <w:rsid w:val="0098133C"/>
    <w:rsid w:val="0098243F"/>
    <w:rsid w:val="00982F2F"/>
    <w:rsid w:val="00985148"/>
    <w:rsid w:val="009912FD"/>
    <w:rsid w:val="00992B52"/>
    <w:rsid w:val="00992F93"/>
    <w:rsid w:val="009947FE"/>
    <w:rsid w:val="00994B2C"/>
    <w:rsid w:val="009A0A13"/>
    <w:rsid w:val="009A21C6"/>
    <w:rsid w:val="009A5908"/>
    <w:rsid w:val="009A5E24"/>
    <w:rsid w:val="009B17A1"/>
    <w:rsid w:val="009B1F58"/>
    <w:rsid w:val="009C2DA8"/>
    <w:rsid w:val="009C7338"/>
    <w:rsid w:val="009D2E9A"/>
    <w:rsid w:val="009D32FB"/>
    <w:rsid w:val="009D7E87"/>
    <w:rsid w:val="009E15E7"/>
    <w:rsid w:val="009E223F"/>
    <w:rsid w:val="009E41EB"/>
    <w:rsid w:val="009E68D2"/>
    <w:rsid w:val="009F06C3"/>
    <w:rsid w:val="009F5385"/>
    <w:rsid w:val="009F59D3"/>
    <w:rsid w:val="009F6749"/>
    <w:rsid w:val="009F732E"/>
    <w:rsid w:val="00A00A77"/>
    <w:rsid w:val="00A01F0C"/>
    <w:rsid w:val="00A0257D"/>
    <w:rsid w:val="00A036C9"/>
    <w:rsid w:val="00A043F9"/>
    <w:rsid w:val="00A1360D"/>
    <w:rsid w:val="00A16A9F"/>
    <w:rsid w:val="00A170DA"/>
    <w:rsid w:val="00A21289"/>
    <w:rsid w:val="00A22AB2"/>
    <w:rsid w:val="00A23675"/>
    <w:rsid w:val="00A23C80"/>
    <w:rsid w:val="00A24A4D"/>
    <w:rsid w:val="00A2704D"/>
    <w:rsid w:val="00A276F0"/>
    <w:rsid w:val="00A2790E"/>
    <w:rsid w:val="00A328F3"/>
    <w:rsid w:val="00A34DAF"/>
    <w:rsid w:val="00A4250E"/>
    <w:rsid w:val="00A43436"/>
    <w:rsid w:val="00A4481B"/>
    <w:rsid w:val="00A46727"/>
    <w:rsid w:val="00A46885"/>
    <w:rsid w:val="00A611D7"/>
    <w:rsid w:val="00A6555D"/>
    <w:rsid w:val="00A65FE5"/>
    <w:rsid w:val="00A66012"/>
    <w:rsid w:val="00A762A6"/>
    <w:rsid w:val="00A77897"/>
    <w:rsid w:val="00A80BC2"/>
    <w:rsid w:val="00A82D88"/>
    <w:rsid w:val="00A83D05"/>
    <w:rsid w:val="00A8514F"/>
    <w:rsid w:val="00A85187"/>
    <w:rsid w:val="00A86935"/>
    <w:rsid w:val="00A875F1"/>
    <w:rsid w:val="00A91B95"/>
    <w:rsid w:val="00A93324"/>
    <w:rsid w:val="00A9353B"/>
    <w:rsid w:val="00A94621"/>
    <w:rsid w:val="00A95969"/>
    <w:rsid w:val="00A96235"/>
    <w:rsid w:val="00AA0669"/>
    <w:rsid w:val="00AA5A0F"/>
    <w:rsid w:val="00AA63CF"/>
    <w:rsid w:val="00AA7A1D"/>
    <w:rsid w:val="00AB0063"/>
    <w:rsid w:val="00AB06D3"/>
    <w:rsid w:val="00AB0ACE"/>
    <w:rsid w:val="00AB335E"/>
    <w:rsid w:val="00AB4367"/>
    <w:rsid w:val="00AB67E7"/>
    <w:rsid w:val="00AC1AD7"/>
    <w:rsid w:val="00AC273A"/>
    <w:rsid w:val="00AD1B7F"/>
    <w:rsid w:val="00AD2C75"/>
    <w:rsid w:val="00AD46A4"/>
    <w:rsid w:val="00AE3971"/>
    <w:rsid w:val="00AE55A9"/>
    <w:rsid w:val="00AE7CAE"/>
    <w:rsid w:val="00AF064B"/>
    <w:rsid w:val="00AF1EA6"/>
    <w:rsid w:val="00AF3180"/>
    <w:rsid w:val="00AF33EA"/>
    <w:rsid w:val="00AF38BF"/>
    <w:rsid w:val="00AF3CE5"/>
    <w:rsid w:val="00AF6366"/>
    <w:rsid w:val="00B010B6"/>
    <w:rsid w:val="00B02785"/>
    <w:rsid w:val="00B05539"/>
    <w:rsid w:val="00B06426"/>
    <w:rsid w:val="00B06CCC"/>
    <w:rsid w:val="00B073C0"/>
    <w:rsid w:val="00B0789B"/>
    <w:rsid w:val="00B13C1D"/>
    <w:rsid w:val="00B1678C"/>
    <w:rsid w:val="00B213B0"/>
    <w:rsid w:val="00B222FC"/>
    <w:rsid w:val="00B22CF9"/>
    <w:rsid w:val="00B25FA6"/>
    <w:rsid w:val="00B267F3"/>
    <w:rsid w:val="00B30DFF"/>
    <w:rsid w:val="00B314B0"/>
    <w:rsid w:val="00B406D5"/>
    <w:rsid w:val="00B41EBD"/>
    <w:rsid w:val="00B42AA8"/>
    <w:rsid w:val="00B46FBD"/>
    <w:rsid w:val="00B502CB"/>
    <w:rsid w:val="00B51B72"/>
    <w:rsid w:val="00B558AC"/>
    <w:rsid w:val="00B567DC"/>
    <w:rsid w:val="00B568AC"/>
    <w:rsid w:val="00B623D2"/>
    <w:rsid w:val="00B63D19"/>
    <w:rsid w:val="00B640B5"/>
    <w:rsid w:val="00B664B2"/>
    <w:rsid w:val="00B7528A"/>
    <w:rsid w:val="00B80025"/>
    <w:rsid w:val="00B81334"/>
    <w:rsid w:val="00B83CC4"/>
    <w:rsid w:val="00B90943"/>
    <w:rsid w:val="00B924EC"/>
    <w:rsid w:val="00B92733"/>
    <w:rsid w:val="00B9285E"/>
    <w:rsid w:val="00BA004A"/>
    <w:rsid w:val="00BA04F3"/>
    <w:rsid w:val="00BA0685"/>
    <w:rsid w:val="00BA1D8F"/>
    <w:rsid w:val="00BA31EC"/>
    <w:rsid w:val="00BA7D3B"/>
    <w:rsid w:val="00BB5192"/>
    <w:rsid w:val="00BB58E3"/>
    <w:rsid w:val="00BB6D12"/>
    <w:rsid w:val="00BB6D9F"/>
    <w:rsid w:val="00BB7A0E"/>
    <w:rsid w:val="00BC0276"/>
    <w:rsid w:val="00BC0A2E"/>
    <w:rsid w:val="00BC1430"/>
    <w:rsid w:val="00BC2C7E"/>
    <w:rsid w:val="00BC3277"/>
    <w:rsid w:val="00BC502C"/>
    <w:rsid w:val="00BC5D8D"/>
    <w:rsid w:val="00BC7058"/>
    <w:rsid w:val="00BD0137"/>
    <w:rsid w:val="00BD505D"/>
    <w:rsid w:val="00BD786D"/>
    <w:rsid w:val="00BE28FA"/>
    <w:rsid w:val="00BE2DD4"/>
    <w:rsid w:val="00BE2F70"/>
    <w:rsid w:val="00BE5756"/>
    <w:rsid w:val="00BE6226"/>
    <w:rsid w:val="00BF0567"/>
    <w:rsid w:val="00BF1B43"/>
    <w:rsid w:val="00BF5D07"/>
    <w:rsid w:val="00BF6B20"/>
    <w:rsid w:val="00BF6FF7"/>
    <w:rsid w:val="00C03DDB"/>
    <w:rsid w:val="00C03DF8"/>
    <w:rsid w:val="00C041D9"/>
    <w:rsid w:val="00C06AB5"/>
    <w:rsid w:val="00C103C1"/>
    <w:rsid w:val="00C131CC"/>
    <w:rsid w:val="00C136E6"/>
    <w:rsid w:val="00C16D7C"/>
    <w:rsid w:val="00C20EE5"/>
    <w:rsid w:val="00C22F62"/>
    <w:rsid w:val="00C23614"/>
    <w:rsid w:val="00C25BD2"/>
    <w:rsid w:val="00C32499"/>
    <w:rsid w:val="00C329BB"/>
    <w:rsid w:val="00C33267"/>
    <w:rsid w:val="00C34ABA"/>
    <w:rsid w:val="00C34D8A"/>
    <w:rsid w:val="00C358D6"/>
    <w:rsid w:val="00C4109D"/>
    <w:rsid w:val="00C412A6"/>
    <w:rsid w:val="00C41BBD"/>
    <w:rsid w:val="00C42E96"/>
    <w:rsid w:val="00C45DF7"/>
    <w:rsid w:val="00C468D9"/>
    <w:rsid w:val="00C47576"/>
    <w:rsid w:val="00C53002"/>
    <w:rsid w:val="00C5678E"/>
    <w:rsid w:val="00C56D59"/>
    <w:rsid w:val="00C606F3"/>
    <w:rsid w:val="00C65172"/>
    <w:rsid w:val="00C651DE"/>
    <w:rsid w:val="00C70C9F"/>
    <w:rsid w:val="00C7777E"/>
    <w:rsid w:val="00C81656"/>
    <w:rsid w:val="00C82A8C"/>
    <w:rsid w:val="00C84F7F"/>
    <w:rsid w:val="00C85B75"/>
    <w:rsid w:val="00C85EAF"/>
    <w:rsid w:val="00C90D40"/>
    <w:rsid w:val="00C96182"/>
    <w:rsid w:val="00C97FB1"/>
    <w:rsid w:val="00CA369D"/>
    <w:rsid w:val="00CB1454"/>
    <w:rsid w:val="00CB431E"/>
    <w:rsid w:val="00CB4B76"/>
    <w:rsid w:val="00CB53DF"/>
    <w:rsid w:val="00CC141B"/>
    <w:rsid w:val="00CC1901"/>
    <w:rsid w:val="00CD000A"/>
    <w:rsid w:val="00CD0239"/>
    <w:rsid w:val="00CD047D"/>
    <w:rsid w:val="00CD29DD"/>
    <w:rsid w:val="00CE5140"/>
    <w:rsid w:val="00CE529F"/>
    <w:rsid w:val="00CF02DE"/>
    <w:rsid w:val="00CF14A8"/>
    <w:rsid w:val="00CF2B6F"/>
    <w:rsid w:val="00D00826"/>
    <w:rsid w:val="00D027E7"/>
    <w:rsid w:val="00D040BF"/>
    <w:rsid w:val="00D06C35"/>
    <w:rsid w:val="00D07C1D"/>
    <w:rsid w:val="00D12632"/>
    <w:rsid w:val="00D173E2"/>
    <w:rsid w:val="00D20907"/>
    <w:rsid w:val="00D2140C"/>
    <w:rsid w:val="00D2327D"/>
    <w:rsid w:val="00D24664"/>
    <w:rsid w:val="00D26C41"/>
    <w:rsid w:val="00D32B34"/>
    <w:rsid w:val="00D34AFD"/>
    <w:rsid w:val="00D42902"/>
    <w:rsid w:val="00D43FCF"/>
    <w:rsid w:val="00D4626E"/>
    <w:rsid w:val="00D47969"/>
    <w:rsid w:val="00D47D30"/>
    <w:rsid w:val="00D50CAA"/>
    <w:rsid w:val="00D525D2"/>
    <w:rsid w:val="00D55E6F"/>
    <w:rsid w:val="00D60978"/>
    <w:rsid w:val="00D637D5"/>
    <w:rsid w:val="00D66BBA"/>
    <w:rsid w:val="00D70679"/>
    <w:rsid w:val="00D73D38"/>
    <w:rsid w:val="00D74F90"/>
    <w:rsid w:val="00D75CE5"/>
    <w:rsid w:val="00D76184"/>
    <w:rsid w:val="00D776D6"/>
    <w:rsid w:val="00D80008"/>
    <w:rsid w:val="00D8053E"/>
    <w:rsid w:val="00D829F8"/>
    <w:rsid w:val="00D8439F"/>
    <w:rsid w:val="00D84442"/>
    <w:rsid w:val="00D86D30"/>
    <w:rsid w:val="00D9272F"/>
    <w:rsid w:val="00D94558"/>
    <w:rsid w:val="00DA0C08"/>
    <w:rsid w:val="00DA4550"/>
    <w:rsid w:val="00DA6A8E"/>
    <w:rsid w:val="00DA7C94"/>
    <w:rsid w:val="00DB09D6"/>
    <w:rsid w:val="00DB0CF5"/>
    <w:rsid w:val="00DB29A0"/>
    <w:rsid w:val="00DB2DB8"/>
    <w:rsid w:val="00DB2F31"/>
    <w:rsid w:val="00DB4756"/>
    <w:rsid w:val="00DB4EB9"/>
    <w:rsid w:val="00DB576A"/>
    <w:rsid w:val="00DC470D"/>
    <w:rsid w:val="00DC74DF"/>
    <w:rsid w:val="00DC7E00"/>
    <w:rsid w:val="00DD190F"/>
    <w:rsid w:val="00DD4066"/>
    <w:rsid w:val="00DD4236"/>
    <w:rsid w:val="00DD4C08"/>
    <w:rsid w:val="00DD5AB9"/>
    <w:rsid w:val="00DD5E4D"/>
    <w:rsid w:val="00DD76BF"/>
    <w:rsid w:val="00DF450A"/>
    <w:rsid w:val="00E0292A"/>
    <w:rsid w:val="00E02CE9"/>
    <w:rsid w:val="00E02EDC"/>
    <w:rsid w:val="00E03861"/>
    <w:rsid w:val="00E04EFE"/>
    <w:rsid w:val="00E0678A"/>
    <w:rsid w:val="00E06F4B"/>
    <w:rsid w:val="00E13C0B"/>
    <w:rsid w:val="00E1452D"/>
    <w:rsid w:val="00E14F88"/>
    <w:rsid w:val="00E160DD"/>
    <w:rsid w:val="00E20401"/>
    <w:rsid w:val="00E20C3B"/>
    <w:rsid w:val="00E219F7"/>
    <w:rsid w:val="00E23425"/>
    <w:rsid w:val="00E23A8D"/>
    <w:rsid w:val="00E24166"/>
    <w:rsid w:val="00E302DA"/>
    <w:rsid w:val="00E3084A"/>
    <w:rsid w:val="00E33472"/>
    <w:rsid w:val="00E35A29"/>
    <w:rsid w:val="00E40F17"/>
    <w:rsid w:val="00E42C92"/>
    <w:rsid w:val="00E432CD"/>
    <w:rsid w:val="00E4335F"/>
    <w:rsid w:val="00E47450"/>
    <w:rsid w:val="00E53987"/>
    <w:rsid w:val="00E54B45"/>
    <w:rsid w:val="00E5651F"/>
    <w:rsid w:val="00E56B37"/>
    <w:rsid w:val="00E625BD"/>
    <w:rsid w:val="00E65D5F"/>
    <w:rsid w:val="00E72658"/>
    <w:rsid w:val="00E733D9"/>
    <w:rsid w:val="00E74EE0"/>
    <w:rsid w:val="00E82370"/>
    <w:rsid w:val="00E82AF9"/>
    <w:rsid w:val="00E83669"/>
    <w:rsid w:val="00E84A68"/>
    <w:rsid w:val="00E90BDD"/>
    <w:rsid w:val="00E91316"/>
    <w:rsid w:val="00E91A45"/>
    <w:rsid w:val="00E94005"/>
    <w:rsid w:val="00E94B18"/>
    <w:rsid w:val="00E97B06"/>
    <w:rsid w:val="00EA59F6"/>
    <w:rsid w:val="00EA630B"/>
    <w:rsid w:val="00EA681F"/>
    <w:rsid w:val="00EB23A9"/>
    <w:rsid w:val="00EB4875"/>
    <w:rsid w:val="00EC1EA1"/>
    <w:rsid w:val="00EC5E9F"/>
    <w:rsid w:val="00EC71EE"/>
    <w:rsid w:val="00ED08EE"/>
    <w:rsid w:val="00ED1E1A"/>
    <w:rsid w:val="00ED1FA5"/>
    <w:rsid w:val="00ED296B"/>
    <w:rsid w:val="00ED3E75"/>
    <w:rsid w:val="00ED4239"/>
    <w:rsid w:val="00ED7859"/>
    <w:rsid w:val="00EE198A"/>
    <w:rsid w:val="00EE27E8"/>
    <w:rsid w:val="00EE37FE"/>
    <w:rsid w:val="00EE397A"/>
    <w:rsid w:val="00EE475D"/>
    <w:rsid w:val="00EE6076"/>
    <w:rsid w:val="00EF0475"/>
    <w:rsid w:val="00EF10BA"/>
    <w:rsid w:val="00EF2132"/>
    <w:rsid w:val="00EF3652"/>
    <w:rsid w:val="00EF560A"/>
    <w:rsid w:val="00EF6A60"/>
    <w:rsid w:val="00F0074D"/>
    <w:rsid w:val="00F0774D"/>
    <w:rsid w:val="00F12957"/>
    <w:rsid w:val="00F130AE"/>
    <w:rsid w:val="00F13D93"/>
    <w:rsid w:val="00F148A8"/>
    <w:rsid w:val="00F16421"/>
    <w:rsid w:val="00F17642"/>
    <w:rsid w:val="00F20BB4"/>
    <w:rsid w:val="00F22651"/>
    <w:rsid w:val="00F252F1"/>
    <w:rsid w:val="00F34419"/>
    <w:rsid w:val="00F34C11"/>
    <w:rsid w:val="00F3623D"/>
    <w:rsid w:val="00F41E56"/>
    <w:rsid w:val="00F42FDF"/>
    <w:rsid w:val="00F524A3"/>
    <w:rsid w:val="00F6088E"/>
    <w:rsid w:val="00F620EA"/>
    <w:rsid w:val="00F63048"/>
    <w:rsid w:val="00F6689E"/>
    <w:rsid w:val="00F709D3"/>
    <w:rsid w:val="00F74719"/>
    <w:rsid w:val="00F7542D"/>
    <w:rsid w:val="00F773B4"/>
    <w:rsid w:val="00F77B04"/>
    <w:rsid w:val="00F77D7F"/>
    <w:rsid w:val="00F8016E"/>
    <w:rsid w:val="00F850E0"/>
    <w:rsid w:val="00F85F56"/>
    <w:rsid w:val="00F908FD"/>
    <w:rsid w:val="00F95D40"/>
    <w:rsid w:val="00F979A3"/>
    <w:rsid w:val="00FA1D11"/>
    <w:rsid w:val="00FA37ED"/>
    <w:rsid w:val="00FA5370"/>
    <w:rsid w:val="00FA65D4"/>
    <w:rsid w:val="00FC3738"/>
    <w:rsid w:val="00FC76E3"/>
    <w:rsid w:val="00FD112E"/>
    <w:rsid w:val="00FD16BE"/>
    <w:rsid w:val="00FD4489"/>
    <w:rsid w:val="00FD6B4D"/>
    <w:rsid w:val="00FE0D02"/>
    <w:rsid w:val="00FE2148"/>
    <w:rsid w:val="00FE3DA2"/>
    <w:rsid w:val="00FF267B"/>
    <w:rsid w:val="00FF2960"/>
    <w:rsid w:val="00FF5A7A"/>
    <w:rsid w:val="00FF78EE"/>
    <w:rsid w:val="01200701"/>
    <w:rsid w:val="013840FF"/>
    <w:rsid w:val="02102C11"/>
    <w:rsid w:val="02281EF2"/>
    <w:rsid w:val="024A5A1D"/>
    <w:rsid w:val="02747E69"/>
    <w:rsid w:val="02986291"/>
    <w:rsid w:val="02EB075A"/>
    <w:rsid w:val="031D452B"/>
    <w:rsid w:val="038457FC"/>
    <w:rsid w:val="044B1550"/>
    <w:rsid w:val="04503433"/>
    <w:rsid w:val="046723B4"/>
    <w:rsid w:val="048F1DC5"/>
    <w:rsid w:val="05082EB1"/>
    <w:rsid w:val="052C60B3"/>
    <w:rsid w:val="05E97FA7"/>
    <w:rsid w:val="061C5EE7"/>
    <w:rsid w:val="066F311D"/>
    <w:rsid w:val="06827034"/>
    <w:rsid w:val="06932EBD"/>
    <w:rsid w:val="071212CF"/>
    <w:rsid w:val="08571862"/>
    <w:rsid w:val="08C7394B"/>
    <w:rsid w:val="0A1C6E09"/>
    <w:rsid w:val="0A3B54DB"/>
    <w:rsid w:val="0AF12136"/>
    <w:rsid w:val="0BEE6E7E"/>
    <w:rsid w:val="0C6148BF"/>
    <w:rsid w:val="0CC477AF"/>
    <w:rsid w:val="0D361E62"/>
    <w:rsid w:val="0D5E6105"/>
    <w:rsid w:val="0D703F62"/>
    <w:rsid w:val="0D890118"/>
    <w:rsid w:val="0D985C06"/>
    <w:rsid w:val="0DE11F2E"/>
    <w:rsid w:val="0E45711E"/>
    <w:rsid w:val="0E95257D"/>
    <w:rsid w:val="0E9D0581"/>
    <w:rsid w:val="0F5C0D2F"/>
    <w:rsid w:val="0F734778"/>
    <w:rsid w:val="0F9F793E"/>
    <w:rsid w:val="0FE67C3A"/>
    <w:rsid w:val="0FF8694B"/>
    <w:rsid w:val="10314FAA"/>
    <w:rsid w:val="107E429E"/>
    <w:rsid w:val="10AA51E7"/>
    <w:rsid w:val="110319DD"/>
    <w:rsid w:val="115228F3"/>
    <w:rsid w:val="12003F70"/>
    <w:rsid w:val="125C4AEB"/>
    <w:rsid w:val="128B37EF"/>
    <w:rsid w:val="13027EE3"/>
    <w:rsid w:val="13791BEF"/>
    <w:rsid w:val="13866F4F"/>
    <w:rsid w:val="13A85ABB"/>
    <w:rsid w:val="13CD4FFA"/>
    <w:rsid w:val="13FA78AB"/>
    <w:rsid w:val="14103695"/>
    <w:rsid w:val="145719F9"/>
    <w:rsid w:val="14B6059E"/>
    <w:rsid w:val="14E342D4"/>
    <w:rsid w:val="14E524F8"/>
    <w:rsid w:val="1541387F"/>
    <w:rsid w:val="1543236A"/>
    <w:rsid w:val="15483023"/>
    <w:rsid w:val="158D439F"/>
    <w:rsid w:val="16590195"/>
    <w:rsid w:val="166F060C"/>
    <w:rsid w:val="168D6D6F"/>
    <w:rsid w:val="16AB715A"/>
    <w:rsid w:val="16BA5472"/>
    <w:rsid w:val="16D103C0"/>
    <w:rsid w:val="170C62DC"/>
    <w:rsid w:val="17172E75"/>
    <w:rsid w:val="17387679"/>
    <w:rsid w:val="17703FBE"/>
    <w:rsid w:val="178A2EBC"/>
    <w:rsid w:val="185E164F"/>
    <w:rsid w:val="18655448"/>
    <w:rsid w:val="18AA04D2"/>
    <w:rsid w:val="18AE6921"/>
    <w:rsid w:val="190A54A9"/>
    <w:rsid w:val="192A4DB7"/>
    <w:rsid w:val="194E0E2B"/>
    <w:rsid w:val="1A3A7912"/>
    <w:rsid w:val="1A3B3641"/>
    <w:rsid w:val="1A6C5302"/>
    <w:rsid w:val="1A8727FB"/>
    <w:rsid w:val="1A97653D"/>
    <w:rsid w:val="1AC41410"/>
    <w:rsid w:val="1B50001D"/>
    <w:rsid w:val="1B7A70BB"/>
    <w:rsid w:val="1B896C63"/>
    <w:rsid w:val="1C071CD8"/>
    <w:rsid w:val="1C1810C5"/>
    <w:rsid w:val="1C1C6F0B"/>
    <w:rsid w:val="1CF267D6"/>
    <w:rsid w:val="1D457DE3"/>
    <w:rsid w:val="1D96298D"/>
    <w:rsid w:val="1DD027FD"/>
    <w:rsid w:val="1DE72D7D"/>
    <w:rsid w:val="1E0B700E"/>
    <w:rsid w:val="1E2B6112"/>
    <w:rsid w:val="1E802C2D"/>
    <w:rsid w:val="1E98489E"/>
    <w:rsid w:val="1E991563"/>
    <w:rsid w:val="1F0C1999"/>
    <w:rsid w:val="1F645D37"/>
    <w:rsid w:val="20065ACF"/>
    <w:rsid w:val="202B6D32"/>
    <w:rsid w:val="203B1A63"/>
    <w:rsid w:val="2051752A"/>
    <w:rsid w:val="20A406EC"/>
    <w:rsid w:val="20B36660"/>
    <w:rsid w:val="20DB1DE1"/>
    <w:rsid w:val="210C7447"/>
    <w:rsid w:val="21202410"/>
    <w:rsid w:val="21FB43BA"/>
    <w:rsid w:val="22111134"/>
    <w:rsid w:val="226657F9"/>
    <w:rsid w:val="229053BA"/>
    <w:rsid w:val="22914F9A"/>
    <w:rsid w:val="22B95839"/>
    <w:rsid w:val="2332796F"/>
    <w:rsid w:val="23433B61"/>
    <w:rsid w:val="235A0A76"/>
    <w:rsid w:val="23870463"/>
    <w:rsid w:val="239B3124"/>
    <w:rsid w:val="23B9111F"/>
    <w:rsid w:val="23E754F8"/>
    <w:rsid w:val="241B77CD"/>
    <w:rsid w:val="246C002A"/>
    <w:rsid w:val="24A60CDC"/>
    <w:rsid w:val="24D713C9"/>
    <w:rsid w:val="24DA0197"/>
    <w:rsid w:val="25180026"/>
    <w:rsid w:val="25303A71"/>
    <w:rsid w:val="256567FA"/>
    <w:rsid w:val="25A54680"/>
    <w:rsid w:val="25E55BF9"/>
    <w:rsid w:val="26AB0571"/>
    <w:rsid w:val="27111C8D"/>
    <w:rsid w:val="271E18E5"/>
    <w:rsid w:val="2737667B"/>
    <w:rsid w:val="2862603D"/>
    <w:rsid w:val="287F0140"/>
    <w:rsid w:val="28DE2413"/>
    <w:rsid w:val="29657DAA"/>
    <w:rsid w:val="297B5906"/>
    <w:rsid w:val="297E7514"/>
    <w:rsid w:val="29A5461E"/>
    <w:rsid w:val="2A1A658F"/>
    <w:rsid w:val="2A1D4BC4"/>
    <w:rsid w:val="2A5D63C9"/>
    <w:rsid w:val="2AF36BEA"/>
    <w:rsid w:val="2B327A7F"/>
    <w:rsid w:val="2B6B391C"/>
    <w:rsid w:val="2B760814"/>
    <w:rsid w:val="2BD107B7"/>
    <w:rsid w:val="2CA23090"/>
    <w:rsid w:val="2CA71852"/>
    <w:rsid w:val="2CBB52D5"/>
    <w:rsid w:val="2D2C7629"/>
    <w:rsid w:val="2D8507F4"/>
    <w:rsid w:val="2DAD2002"/>
    <w:rsid w:val="2DD34E0B"/>
    <w:rsid w:val="2DD3595C"/>
    <w:rsid w:val="2DDB0F28"/>
    <w:rsid w:val="2F3875B9"/>
    <w:rsid w:val="2F63694C"/>
    <w:rsid w:val="2F9A2FD4"/>
    <w:rsid w:val="30AA3355"/>
    <w:rsid w:val="30B77A0F"/>
    <w:rsid w:val="30D555EF"/>
    <w:rsid w:val="31006324"/>
    <w:rsid w:val="3183005D"/>
    <w:rsid w:val="31A05AB9"/>
    <w:rsid w:val="31E60531"/>
    <w:rsid w:val="327A2560"/>
    <w:rsid w:val="32C554FA"/>
    <w:rsid w:val="32CF02A0"/>
    <w:rsid w:val="33431D37"/>
    <w:rsid w:val="335D701C"/>
    <w:rsid w:val="33A34F36"/>
    <w:rsid w:val="33E80FFD"/>
    <w:rsid w:val="340401EA"/>
    <w:rsid w:val="341A7ED7"/>
    <w:rsid w:val="34B61387"/>
    <w:rsid w:val="34E17614"/>
    <w:rsid w:val="354C779E"/>
    <w:rsid w:val="3555017F"/>
    <w:rsid w:val="35740BDF"/>
    <w:rsid w:val="361E6145"/>
    <w:rsid w:val="362035F4"/>
    <w:rsid w:val="362E72C3"/>
    <w:rsid w:val="362F06EF"/>
    <w:rsid w:val="36550712"/>
    <w:rsid w:val="36D6546B"/>
    <w:rsid w:val="36E2034E"/>
    <w:rsid w:val="37233ED9"/>
    <w:rsid w:val="37237696"/>
    <w:rsid w:val="37350D72"/>
    <w:rsid w:val="376F398D"/>
    <w:rsid w:val="378A454B"/>
    <w:rsid w:val="379D6356"/>
    <w:rsid w:val="380A311E"/>
    <w:rsid w:val="38E8362D"/>
    <w:rsid w:val="38F47891"/>
    <w:rsid w:val="38FF303E"/>
    <w:rsid w:val="393E0967"/>
    <w:rsid w:val="3946194B"/>
    <w:rsid w:val="39DC5201"/>
    <w:rsid w:val="39E1366F"/>
    <w:rsid w:val="39FB6880"/>
    <w:rsid w:val="3A2C0C30"/>
    <w:rsid w:val="3A87362B"/>
    <w:rsid w:val="3ADA1B05"/>
    <w:rsid w:val="3B4D6097"/>
    <w:rsid w:val="3B696FA1"/>
    <w:rsid w:val="3BBF5EA8"/>
    <w:rsid w:val="3C3B754E"/>
    <w:rsid w:val="3D352938"/>
    <w:rsid w:val="3D3620D1"/>
    <w:rsid w:val="3D4F1521"/>
    <w:rsid w:val="3E075559"/>
    <w:rsid w:val="3FAF7677"/>
    <w:rsid w:val="3FFA0EA7"/>
    <w:rsid w:val="4013548A"/>
    <w:rsid w:val="4018448F"/>
    <w:rsid w:val="40744533"/>
    <w:rsid w:val="40A11A4E"/>
    <w:rsid w:val="40B51DD7"/>
    <w:rsid w:val="4115677C"/>
    <w:rsid w:val="41162149"/>
    <w:rsid w:val="414E416A"/>
    <w:rsid w:val="416814EB"/>
    <w:rsid w:val="41796A21"/>
    <w:rsid w:val="42392B97"/>
    <w:rsid w:val="430730C0"/>
    <w:rsid w:val="430B6F89"/>
    <w:rsid w:val="43182B7E"/>
    <w:rsid w:val="43392757"/>
    <w:rsid w:val="434D63CB"/>
    <w:rsid w:val="43692A57"/>
    <w:rsid w:val="43724B5A"/>
    <w:rsid w:val="44125551"/>
    <w:rsid w:val="443250B1"/>
    <w:rsid w:val="4444446F"/>
    <w:rsid w:val="445E7EBD"/>
    <w:rsid w:val="449A5F4E"/>
    <w:rsid w:val="44AC771E"/>
    <w:rsid w:val="44B72C17"/>
    <w:rsid w:val="451957B2"/>
    <w:rsid w:val="45391E3F"/>
    <w:rsid w:val="457E3993"/>
    <w:rsid w:val="45A1222F"/>
    <w:rsid w:val="45FF5766"/>
    <w:rsid w:val="4619067F"/>
    <w:rsid w:val="461D750B"/>
    <w:rsid w:val="46DC6FB4"/>
    <w:rsid w:val="46FF2F3A"/>
    <w:rsid w:val="47016828"/>
    <w:rsid w:val="47486B57"/>
    <w:rsid w:val="47DF1BAC"/>
    <w:rsid w:val="47E0202D"/>
    <w:rsid w:val="480F646A"/>
    <w:rsid w:val="48504926"/>
    <w:rsid w:val="48623D1A"/>
    <w:rsid w:val="489B7CBB"/>
    <w:rsid w:val="48E324A0"/>
    <w:rsid w:val="49AA7D52"/>
    <w:rsid w:val="4A0D57D7"/>
    <w:rsid w:val="4A9262CD"/>
    <w:rsid w:val="4A954442"/>
    <w:rsid w:val="4AA20D6C"/>
    <w:rsid w:val="4AB118EF"/>
    <w:rsid w:val="4AC91DE8"/>
    <w:rsid w:val="4B413D5C"/>
    <w:rsid w:val="4BB23E30"/>
    <w:rsid w:val="4BDA62A6"/>
    <w:rsid w:val="4BF10A61"/>
    <w:rsid w:val="4C510408"/>
    <w:rsid w:val="4C9915AA"/>
    <w:rsid w:val="4CB7717D"/>
    <w:rsid w:val="4CFE05AC"/>
    <w:rsid w:val="4D1C2F8C"/>
    <w:rsid w:val="4D965FF8"/>
    <w:rsid w:val="4DC828A7"/>
    <w:rsid w:val="4DD65B3E"/>
    <w:rsid w:val="4E172F48"/>
    <w:rsid w:val="4E451C19"/>
    <w:rsid w:val="4E596B2E"/>
    <w:rsid w:val="4E8749BE"/>
    <w:rsid w:val="4E9B78E6"/>
    <w:rsid w:val="4F266963"/>
    <w:rsid w:val="4F457F7A"/>
    <w:rsid w:val="4FCD250E"/>
    <w:rsid w:val="4FE76E89"/>
    <w:rsid w:val="50034297"/>
    <w:rsid w:val="50312A85"/>
    <w:rsid w:val="505C7C67"/>
    <w:rsid w:val="510A63B5"/>
    <w:rsid w:val="51397425"/>
    <w:rsid w:val="51441D07"/>
    <w:rsid w:val="51510DEA"/>
    <w:rsid w:val="516869C6"/>
    <w:rsid w:val="517F6B78"/>
    <w:rsid w:val="51AE6E4D"/>
    <w:rsid w:val="51D47D0B"/>
    <w:rsid w:val="51E251BB"/>
    <w:rsid w:val="51EC6E96"/>
    <w:rsid w:val="5215216A"/>
    <w:rsid w:val="521535AA"/>
    <w:rsid w:val="527202ED"/>
    <w:rsid w:val="528814AE"/>
    <w:rsid w:val="531919FA"/>
    <w:rsid w:val="535D6220"/>
    <w:rsid w:val="536E1E3C"/>
    <w:rsid w:val="536E4814"/>
    <w:rsid w:val="53D5738F"/>
    <w:rsid w:val="53E36BAE"/>
    <w:rsid w:val="53E40EFA"/>
    <w:rsid w:val="547752B8"/>
    <w:rsid w:val="555C51AC"/>
    <w:rsid w:val="55A3682A"/>
    <w:rsid w:val="55DF6BFB"/>
    <w:rsid w:val="5610245D"/>
    <w:rsid w:val="565C16D1"/>
    <w:rsid w:val="56A03F1A"/>
    <w:rsid w:val="56CC5A0F"/>
    <w:rsid w:val="56E82ED9"/>
    <w:rsid w:val="571B2003"/>
    <w:rsid w:val="57301152"/>
    <w:rsid w:val="575B60B1"/>
    <w:rsid w:val="58695B5D"/>
    <w:rsid w:val="5871614B"/>
    <w:rsid w:val="58D2461A"/>
    <w:rsid w:val="58EC21B1"/>
    <w:rsid w:val="595C7C6B"/>
    <w:rsid w:val="59B97E6B"/>
    <w:rsid w:val="59D43BE8"/>
    <w:rsid w:val="59F82DC2"/>
    <w:rsid w:val="5A6C436D"/>
    <w:rsid w:val="5AD76927"/>
    <w:rsid w:val="5B3D2019"/>
    <w:rsid w:val="5C41428C"/>
    <w:rsid w:val="5C78157A"/>
    <w:rsid w:val="5CBE257B"/>
    <w:rsid w:val="5CE8716F"/>
    <w:rsid w:val="5CEA3A40"/>
    <w:rsid w:val="5D05238C"/>
    <w:rsid w:val="5D585BA2"/>
    <w:rsid w:val="5D815F3C"/>
    <w:rsid w:val="5D8B5D23"/>
    <w:rsid w:val="5E314012"/>
    <w:rsid w:val="5EBA1746"/>
    <w:rsid w:val="5EF3567E"/>
    <w:rsid w:val="5FA91635"/>
    <w:rsid w:val="5FB23611"/>
    <w:rsid w:val="605839BA"/>
    <w:rsid w:val="605F624F"/>
    <w:rsid w:val="60D3073A"/>
    <w:rsid w:val="60DE222A"/>
    <w:rsid w:val="60E062E5"/>
    <w:rsid w:val="60E729EF"/>
    <w:rsid w:val="613412A2"/>
    <w:rsid w:val="61560E6C"/>
    <w:rsid w:val="6160364C"/>
    <w:rsid w:val="61EE14B4"/>
    <w:rsid w:val="622475CE"/>
    <w:rsid w:val="6247009B"/>
    <w:rsid w:val="62490115"/>
    <w:rsid w:val="637E464B"/>
    <w:rsid w:val="63EE61AF"/>
    <w:rsid w:val="64956B4E"/>
    <w:rsid w:val="64C740BE"/>
    <w:rsid w:val="65A10613"/>
    <w:rsid w:val="65B023FD"/>
    <w:rsid w:val="666E791A"/>
    <w:rsid w:val="66864278"/>
    <w:rsid w:val="67152B03"/>
    <w:rsid w:val="67B06806"/>
    <w:rsid w:val="67E40E2B"/>
    <w:rsid w:val="680018A2"/>
    <w:rsid w:val="68E22AA5"/>
    <w:rsid w:val="695E3EEF"/>
    <w:rsid w:val="699F2BEC"/>
    <w:rsid w:val="6A2D65B0"/>
    <w:rsid w:val="6AB67318"/>
    <w:rsid w:val="6ACB4377"/>
    <w:rsid w:val="6AD059E6"/>
    <w:rsid w:val="6AD85F61"/>
    <w:rsid w:val="6B4A1E6D"/>
    <w:rsid w:val="6B865E92"/>
    <w:rsid w:val="6BC5239A"/>
    <w:rsid w:val="6C6D72DC"/>
    <w:rsid w:val="6CAF27AF"/>
    <w:rsid w:val="6CC153F7"/>
    <w:rsid w:val="6D075EC3"/>
    <w:rsid w:val="6D0B47A6"/>
    <w:rsid w:val="6D333752"/>
    <w:rsid w:val="6D3A08EC"/>
    <w:rsid w:val="6D43225C"/>
    <w:rsid w:val="6D6C31D4"/>
    <w:rsid w:val="6D991B48"/>
    <w:rsid w:val="6ED01588"/>
    <w:rsid w:val="6ED17B0B"/>
    <w:rsid w:val="6EFF47A9"/>
    <w:rsid w:val="6F4B377E"/>
    <w:rsid w:val="6FE115C7"/>
    <w:rsid w:val="702969BE"/>
    <w:rsid w:val="705214C2"/>
    <w:rsid w:val="70627084"/>
    <w:rsid w:val="711E598A"/>
    <w:rsid w:val="712A1CD9"/>
    <w:rsid w:val="71842735"/>
    <w:rsid w:val="71A5165D"/>
    <w:rsid w:val="71C264CA"/>
    <w:rsid w:val="71EB321B"/>
    <w:rsid w:val="71FB0ADA"/>
    <w:rsid w:val="727F73EF"/>
    <w:rsid w:val="72AE5AAE"/>
    <w:rsid w:val="72FC29CC"/>
    <w:rsid w:val="73F71479"/>
    <w:rsid w:val="74C11D32"/>
    <w:rsid w:val="74C17AD4"/>
    <w:rsid w:val="751562B1"/>
    <w:rsid w:val="753D27B0"/>
    <w:rsid w:val="75514B87"/>
    <w:rsid w:val="75697671"/>
    <w:rsid w:val="758972B4"/>
    <w:rsid w:val="761758C5"/>
    <w:rsid w:val="764F4EB1"/>
    <w:rsid w:val="767A0944"/>
    <w:rsid w:val="77161071"/>
    <w:rsid w:val="772C0399"/>
    <w:rsid w:val="77356C44"/>
    <w:rsid w:val="78403B27"/>
    <w:rsid w:val="784D21A9"/>
    <w:rsid w:val="78B2491E"/>
    <w:rsid w:val="78B31ABC"/>
    <w:rsid w:val="790A411F"/>
    <w:rsid w:val="791D6DC5"/>
    <w:rsid w:val="79696730"/>
    <w:rsid w:val="799A35CA"/>
    <w:rsid w:val="79AD0A62"/>
    <w:rsid w:val="79D83FED"/>
    <w:rsid w:val="7A052603"/>
    <w:rsid w:val="7B277620"/>
    <w:rsid w:val="7B4269E8"/>
    <w:rsid w:val="7B8C23CE"/>
    <w:rsid w:val="7BA14D9D"/>
    <w:rsid w:val="7BC66B0C"/>
    <w:rsid w:val="7BEE5358"/>
    <w:rsid w:val="7C0A46D6"/>
    <w:rsid w:val="7C1A2A56"/>
    <w:rsid w:val="7C7960D3"/>
    <w:rsid w:val="7CA3553C"/>
    <w:rsid w:val="7D397D94"/>
    <w:rsid w:val="7D6F00EE"/>
    <w:rsid w:val="7DA12AA5"/>
    <w:rsid w:val="7DDC7717"/>
    <w:rsid w:val="7E7869DB"/>
    <w:rsid w:val="7EC7184E"/>
    <w:rsid w:val="7F1337D0"/>
    <w:rsid w:val="7F9B243E"/>
    <w:rsid w:val="7FC753F1"/>
    <w:rsid w:val="7FEA61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黑体"/>
      <w:kern w:val="2"/>
      <w:sz w:val="21"/>
      <w:szCs w:val="22"/>
      <w:lang w:val="en-US" w:eastAsia="zh-CN" w:bidi="ar-SA"/>
    </w:rPr>
  </w:style>
  <w:style w:type="paragraph" w:styleId="4">
    <w:name w:val="heading 1"/>
    <w:basedOn w:val="1"/>
    <w:next w:val="1"/>
    <w:link w:val="31"/>
    <w:qFormat/>
    <w:uiPriority w:val="99"/>
    <w:pPr>
      <w:keepNext/>
      <w:keepLines/>
      <w:spacing w:before="340" w:after="330" w:line="576" w:lineRule="auto"/>
      <w:outlineLvl w:val="0"/>
    </w:pPr>
    <w:rPr>
      <w:b/>
      <w:kern w:val="44"/>
      <w:sz w:val="44"/>
    </w:rPr>
  </w:style>
  <w:style w:type="paragraph" w:styleId="5">
    <w:name w:val="heading 2"/>
    <w:basedOn w:val="1"/>
    <w:next w:val="1"/>
    <w:link w:val="32"/>
    <w:unhideWhenUsed/>
    <w:qFormat/>
    <w:uiPriority w:val="99"/>
    <w:pPr>
      <w:keepNext/>
      <w:keepLines/>
      <w:spacing w:before="260" w:after="260" w:line="416" w:lineRule="auto"/>
      <w:outlineLvl w:val="1"/>
    </w:pPr>
    <w:rPr>
      <w:rFonts w:ascii="等线 Light" w:hAnsi="等线 Light" w:eastAsia="等线 Light"/>
      <w:b/>
      <w:bCs/>
      <w:sz w:val="32"/>
      <w:szCs w:val="32"/>
    </w:rPr>
  </w:style>
  <w:style w:type="paragraph" w:styleId="6">
    <w:name w:val="heading 3"/>
    <w:basedOn w:val="1"/>
    <w:next w:val="1"/>
    <w:unhideWhenUsed/>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76" w:lineRule="atLeast"/>
      <w:ind w:firstLine="602"/>
      <w:outlineLvl w:val="3"/>
    </w:pPr>
    <w:rPr>
      <w:rFonts w:ascii="仿宋_GB2312" w:hAnsi="Cambria"/>
      <w:b/>
      <w:bCs/>
      <w:color w:val="000000"/>
      <w:sz w:val="30"/>
    </w:rPr>
  </w:style>
  <w:style w:type="character" w:default="1" w:styleId="25">
    <w:name w:val="Default Paragraph Font"/>
    <w:semiHidden/>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unhideWhenUsed/>
    <w:qFormat/>
    <w:uiPriority w:val="99"/>
    <w:pPr>
      <w:ind w:left="0" w:firstLine="420"/>
    </w:pPr>
    <w:rPr>
      <w:rFonts w:ascii="仿宋_GB2312" w:eastAsia="仿宋_GB2312" w:cs="仿宋_GB2312"/>
      <w:sz w:val="32"/>
      <w:szCs w:val="32"/>
    </w:rPr>
  </w:style>
  <w:style w:type="paragraph" w:styleId="3">
    <w:name w:val="Body Text Indent"/>
    <w:basedOn w:val="1"/>
    <w:next w:val="1"/>
    <w:unhideWhenUsed/>
    <w:qFormat/>
    <w:uiPriority w:val="99"/>
    <w:pPr>
      <w:spacing w:after="120"/>
      <w:ind w:left="420"/>
    </w:pPr>
    <w:rPr>
      <w:rFonts w:ascii="Calibri" w:hAnsi="Calibri" w:eastAsia="宋体" w:cs="Times New Roman"/>
    </w:rPr>
  </w:style>
  <w:style w:type="paragraph" w:styleId="8">
    <w:name w:val="toc 7"/>
    <w:basedOn w:val="1"/>
    <w:next w:val="1"/>
    <w:unhideWhenUsed/>
    <w:qFormat/>
    <w:uiPriority w:val="39"/>
    <w:pPr>
      <w:ind w:left="2520" w:leftChars="1200"/>
    </w:pPr>
    <w:rPr>
      <w:rFonts w:asciiTheme="minorHAnsi" w:hAnsiTheme="minorHAnsi" w:eastAsiaTheme="minorEastAsia" w:cstheme="minorBidi"/>
    </w:rPr>
  </w:style>
  <w:style w:type="paragraph" w:styleId="9">
    <w:name w:val="Document Map"/>
    <w:basedOn w:val="1"/>
    <w:link w:val="33"/>
    <w:qFormat/>
    <w:uiPriority w:val="0"/>
    <w:rPr>
      <w:rFonts w:ascii="宋体" w:eastAsia="宋体"/>
      <w:sz w:val="18"/>
      <w:szCs w:val="18"/>
    </w:rPr>
  </w:style>
  <w:style w:type="paragraph" w:styleId="10">
    <w:name w:val="Body Text"/>
    <w:basedOn w:val="1"/>
    <w:next w:val="11"/>
    <w:qFormat/>
    <w:uiPriority w:val="0"/>
    <w:pPr>
      <w:spacing w:line="480" w:lineRule="exact"/>
    </w:pPr>
    <w:rPr>
      <w:rFonts w:hAnsi="宋体"/>
    </w:rPr>
  </w:style>
  <w:style w:type="paragraph" w:styleId="11">
    <w:name w:val="header"/>
    <w:basedOn w:val="1"/>
    <w:next w:val="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2">
    <w:name w:val="_Style 4"/>
    <w:basedOn w:val="1"/>
    <w:next w:val="1"/>
    <w:qFormat/>
    <w:uiPriority w:val="99"/>
    <w:pPr>
      <w:widowControl/>
      <w:wordWrap w:val="0"/>
      <w:spacing w:before="200" w:after="160"/>
      <w:ind w:left="864" w:right="864"/>
      <w:jc w:val="center"/>
    </w:pPr>
    <w:rPr>
      <w:rFonts w:ascii="宋体"/>
      <w:i/>
      <w:color w:val="404040"/>
    </w:rPr>
  </w:style>
  <w:style w:type="paragraph" w:styleId="13">
    <w:name w:val="toc 5"/>
    <w:basedOn w:val="1"/>
    <w:next w:val="1"/>
    <w:unhideWhenUsed/>
    <w:qFormat/>
    <w:uiPriority w:val="39"/>
    <w:pPr>
      <w:ind w:left="1680" w:leftChars="800"/>
    </w:pPr>
    <w:rPr>
      <w:rFonts w:asciiTheme="minorHAnsi" w:hAnsiTheme="minorHAnsi" w:eastAsiaTheme="minorEastAsia" w:cstheme="minorBidi"/>
    </w:rPr>
  </w:style>
  <w:style w:type="paragraph" w:styleId="14">
    <w:name w:val="toc 3"/>
    <w:basedOn w:val="1"/>
    <w:next w:val="1"/>
    <w:qFormat/>
    <w:uiPriority w:val="39"/>
    <w:pPr>
      <w:ind w:left="840" w:leftChars="400"/>
    </w:pPr>
    <w:rPr>
      <w:rFonts w:asciiTheme="minorHAnsi" w:hAnsiTheme="minorHAnsi" w:eastAsiaTheme="minorEastAsia" w:cstheme="minorBidi"/>
    </w:rPr>
  </w:style>
  <w:style w:type="paragraph" w:styleId="15">
    <w:name w:val="toc 8"/>
    <w:basedOn w:val="1"/>
    <w:next w:val="1"/>
    <w:unhideWhenUsed/>
    <w:qFormat/>
    <w:uiPriority w:val="39"/>
    <w:pPr>
      <w:ind w:left="2940" w:leftChars="1400"/>
    </w:pPr>
    <w:rPr>
      <w:rFonts w:asciiTheme="minorHAnsi" w:hAnsiTheme="minorHAnsi" w:eastAsiaTheme="minorEastAsia" w:cstheme="minorBidi"/>
    </w:rPr>
  </w:style>
  <w:style w:type="paragraph" w:styleId="16">
    <w:name w:val="Balloon Text"/>
    <w:basedOn w:val="1"/>
    <w:link w:val="34"/>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toc 1"/>
    <w:basedOn w:val="1"/>
    <w:next w:val="1"/>
    <w:qFormat/>
    <w:uiPriority w:val="39"/>
  </w:style>
  <w:style w:type="paragraph" w:styleId="19">
    <w:name w:val="toc 4"/>
    <w:basedOn w:val="1"/>
    <w:next w:val="1"/>
    <w:unhideWhenUsed/>
    <w:qFormat/>
    <w:uiPriority w:val="39"/>
    <w:pPr>
      <w:ind w:left="1260" w:leftChars="600"/>
    </w:pPr>
    <w:rPr>
      <w:rFonts w:asciiTheme="minorHAnsi" w:hAnsiTheme="minorHAnsi" w:eastAsiaTheme="minorEastAsia" w:cstheme="minorBidi"/>
    </w:rPr>
  </w:style>
  <w:style w:type="paragraph" w:styleId="20">
    <w:name w:val="toc 6"/>
    <w:basedOn w:val="1"/>
    <w:next w:val="1"/>
    <w:unhideWhenUsed/>
    <w:qFormat/>
    <w:uiPriority w:val="39"/>
    <w:pPr>
      <w:ind w:left="2100" w:leftChars="1000"/>
    </w:pPr>
    <w:rPr>
      <w:rFonts w:asciiTheme="minorHAnsi" w:hAnsiTheme="minorHAnsi" w:eastAsiaTheme="minorEastAsia" w:cstheme="minorBidi"/>
    </w:rPr>
  </w:style>
  <w:style w:type="paragraph" w:styleId="21">
    <w:name w:val="toc 2"/>
    <w:basedOn w:val="1"/>
    <w:next w:val="1"/>
    <w:qFormat/>
    <w:uiPriority w:val="39"/>
    <w:pPr>
      <w:ind w:left="420" w:leftChars="200"/>
    </w:pPr>
  </w:style>
  <w:style w:type="paragraph" w:styleId="22">
    <w:name w:val="toc 9"/>
    <w:basedOn w:val="1"/>
    <w:next w:val="1"/>
    <w:unhideWhenUsed/>
    <w:qFormat/>
    <w:uiPriority w:val="39"/>
    <w:pPr>
      <w:ind w:left="3360" w:leftChars="1600"/>
    </w:pPr>
    <w:rPr>
      <w:rFonts w:asciiTheme="minorHAnsi" w:hAnsiTheme="minorHAnsi" w:eastAsiaTheme="minorEastAsia" w:cstheme="minorBidi"/>
    </w:rPr>
  </w:style>
  <w:style w:type="paragraph" w:styleId="2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4">
    <w:name w:val="Title"/>
    <w:basedOn w:val="1"/>
    <w:qFormat/>
    <w:uiPriority w:val="99"/>
    <w:pPr>
      <w:spacing w:before="240" w:after="60"/>
      <w:jc w:val="center"/>
      <w:outlineLvl w:val="0"/>
    </w:pPr>
    <w:rPr>
      <w:rFonts w:ascii="Arial" w:hAnsi="Arial" w:cs="Arial"/>
      <w:b/>
      <w:bCs/>
      <w:sz w:val="32"/>
      <w:szCs w:val="32"/>
    </w:rPr>
  </w:style>
  <w:style w:type="character" w:styleId="26">
    <w:name w:val="Strong"/>
    <w:basedOn w:val="25"/>
    <w:qFormat/>
    <w:uiPriority w:val="22"/>
    <w:rPr>
      <w:b/>
      <w:bCs/>
    </w:rPr>
  </w:style>
  <w:style w:type="character" w:styleId="27">
    <w:name w:val="FollowedHyperlink"/>
    <w:basedOn w:val="25"/>
    <w:qFormat/>
    <w:uiPriority w:val="0"/>
    <w:rPr>
      <w:color w:val="0F0F0F"/>
      <w:u w:val="none"/>
    </w:rPr>
  </w:style>
  <w:style w:type="character" w:styleId="28">
    <w:name w:val="Emphasis"/>
    <w:basedOn w:val="25"/>
    <w:qFormat/>
    <w:uiPriority w:val="0"/>
  </w:style>
  <w:style w:type="character" w:styleId="29">
    <w:name w:val="Hyperlink"/>
    <w:basedOn w:val="25"/>
    <w:qFormat/>
    <w:uiPriority w:val="99"/>
    <w:rPr>
      <w:color w:val="0000FF"/>
      <w:u w:val="single"/>
    </w:rPr>
  </w:style>
  <w:style w:type="character" w:customStyle="1" w:styleId="31">
    <w:name w:val="标题 1 字符"/>
    <w:link w:val="4"/>
    <w:qFormat/>
    <w:locked/>
    <w:uiPriority w:val="99"/>
    <w:rPr>
      <w:rFonts w:ascii="等线" w:hAnsi="等线" w:eastAsia="黑体" w:cs="黑体"/>
      <w:bCs/>
      <w:kern w:val="44"/>
      <w:sz w:val="44"/>
      <w:szCs w:val="44"/>
    </w:rPr>
  </w:style>
  <w:style w:type="character" w:customStyle="1" w:styleId="32">
    <w:name w:val="标题 2 字符"/>
    <w:link w:val="5"/>
    <w:qFormat/>
    <w:uiPriority w:val="99"/>
    <w:rPr>
      <w:rFonts w:ascii="等线 Light" w:hAnsi="等线 Light" w:eastAsia="等线 Light"/>
      <w:b/>
      <w:bCs/>
      <w:sz w:val="32"/>
      <w:szCs w:val="32"/>
    </w:rPr>
  </w:style>
  <w:style w:type="character" w:customStyle="1" w:styleId="33">
    <w:name w:val="文档结构图 字符"/>
    <w:basedOn w:val="25"/>
    <w:link w:val="9"/>
    <w:qFormat/>
    <w:uiPriority w:val="0"/>
    <w:rPr>
      <w:rFonts w:ascii="宋体" w:eastAsia="宋体" w:cs="黑体"/>
      <w:kern w:val="2"/>
      <w:sz w:val="18"/>
      <w:szCs w:val="18"/>
    </w:rPr>
  </w:style>
  <w:style w:type="character" w:customStyle="1" w:styleId="34">
    <w:name w:val="批注框文本 字符"/>
    <w:basedOn w:val="25"/>
    <w:link w:val="16"/>
    <w:qFormat/>
    <w:uiPriority w:val="0"/>
    <w:rPr>
      <w:rFonts w:ascii="等线" w:hAnsi="等线" w:eastAsia="等线" w:cs="黑体"/>
      <w:kern w:val="2"/>
      <w:sz w:val="18"/>
      <w:szCs w:val="18"/>
    </w:rPr>
  </w:style>
  <w:style w:type="paragraph" w:customStyle="1" w:styleId="35">
    <w:name w:val="标题3"/>
    <w:basedOn w:val="1"/>
    <w:qFormat/>
    <w:uiPriority w:val="0"/>
    <w:pPr>
      <w:spacing w:beforeLines="50" w:afterLines="50" w:line="560" w:lineRule="exact"/>
      <w:ind w:firstLine="200" w:firstLineChars="200"/>
      <w:outlineLvl w:val="1"/>
    </w:pPr>
    <w:rPr>
      <w:rFonts w:ascii="仿宋_GB2312" w:hAnsi="宋体" w:eastAsia="仿宋_GB2312" w:cs="宋体"/>
      <w:b/>
      <w:bCs/>
      <w:color w:val="333333"/>
      <w:kern w:val="0"/>
      <w:sz w:val="32"/>
      <w:szCs w:val="30"/>
    </w:rPr>
  </w:style>
  <w:style w:type="character" w:customStyle="1" w:styleId="36">
    <w:name w:val="one"/>
    <w:basedOn w:val="25"/>
    <w:qFormat/>
    <w:uiPriority w:val="0"/>
    <w:rPr>
      <w:color w:val="003366"/>
    </w:rPr>
  </w:style>
  <w:style w:type="character" w:customStyle="1" w:styleId="37">
    <w:name w:val="disabled"/>
    <w:basedOn w:val="25"/>
    <w:qFormat/>
    <w:uiPriority w:val="0"/>
    <w:rPr>
      <w:shd w:val="clear" w:color="auto" w:fill="F2F2F2"/>
    </w:rPr>
  </w:style>
  <w:style w:type="paragraph" w:customStyle="1" w:styleId="38">
    <w:name w:val="WPSOffice手动目录 1"/>
    <w:qFormat/>
    <w:uiPriority w:val="0"/>
    <w:rPr>
      <w:rFonts w:asciiTheme="minorHAnsi" w:hAnsiTheme="minorHAnsi" w:eastAsiaTheme="minorEastAsia" w:cstheme="minorBidi"/>
      <w:lang w:val="en-US" w:eastAsia="zh-CN" w:bidi="ar-SA"/>
    </w:rPr>
  </w:style>
  <w:style w:type="paragraph" w:customStyle="1" w:styleId="39">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40">
    <w:name w:val="NormalCharacter"/>
    <w:semiHidden/>
    <w:qFormat/>
    <w:uiPriority w:val="0"/>
  </w:style>
  <w:style w:type="paragraph" w:styleId="41">
    <w:name w:val="List Paragraph"/>
    <w:basedOn w:val="1"/>
    <w:qFormat/>
    <w:uiPriority w:val="34"/>
    <w:pPr>
      <w:ind w:firstLine="420" w:firstLineChars="200"/>
    </w:pPr>
  </w:style>
  <w:style w:type="character" w:customStyle="1" w:styleId="42">
    <w:name w:val="标题 1 Char"/>
    <w:basedOn w:val="25"/>
    <w:qFormat/>
    <w:uiPriority w:val="99"/>
    <w:rPr>
      <w:rFonts w:ascii="等线" w:hAnsi="等线" w:eastAsia="等线" w:cs="黑体"/>
      <w:b/>
      <w:kern w:val="44"/>
      <w:sz w:val="44"/>
      <w:szCs w:val="22"/>
    </w:rPr>
  </w:style>
  <w:style w:type="paragraph" w:customStyle="1" w:styleId="43">
    <w:name w:val="UserStyle_0"/>
    <w:qFormat/>
    <w:uiPriority w:val="0"/>
    <w:pPr>
      <w:textAlignment w:val="baseline"/>
    </w:pPr>
    <w:rPr>
      <w:rFonts w:ascii="仿宋_GB2312" w:hAnsi="Times New Roman" w:eastAsia="仿宋_GB2312" w:cs="Times New Roman"/>
      <w:color w:val="000000"/>
      <w:sz w:val="24"/>
      <w:szCs w:val="24"/>
      <w:lang w:val="en-US" w:eastAsia="zh-CN" w:bidi="ar-SA"/>
    </w:rPr>
  </w:style>
  <w:style w:type="character" w:customStyle="1" w:styleId="44">
    <w:name w:val="fontstyle41"/>
    <w:basedOn w:val="25"/>
    <w:qFormat/>
    <w:uiPriority w:val="99"/>
    <w:rPr>
      <w:rFonts w:hint="eastAsia" w:ascii="黑体" w:hAnsi="宋体" w:eastAsia="黑体" w:cs="黑体"/>
      <w:color w:val="000000"/>
      <w:sz w:val="28"/>
      <w:szCs w:val="28"/>
    </w:rPr>
  </w:style>
  <w:style w:type="paragraph" w:customStyle="1" w:styleId="45">
    <w:name w:val="Default"/>
    <w:qFormat/>
    <w:uiPriority w:val="99"/>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46">
    <w:name w:val="无间隔1"/>
    <w:qFormat/>
    <w:uiPriority w:val="99"/>
    <w:pPr>
      <w:widowControl w:val="0"/>
      <w:spacing w:line="600" w:lineRule="exact"/>
      <w:ind w:firstLine="200" w:firstLineChars="200"/>
      <w:jc w:val="both"/>
    </w:pPr>
    <w:rPr>
      <w:rFonts w:ascii="Calibri" w:hAnsi="Calibri" w:eastAsia="仿宋_GB2312" w:cs="Times New Roman"/>
      <w:kern w:val="2"/>
      <w:sz w:val="32"/>
      <w:szCs w:val="22"/>
      <w:lang w:val="en-US" w:eastAsia="zh-CN" w:bidi="ar-SA"/>
    </w:rPr>
  </w:style>
  <w:style w:type="paragraph" w:customStyle="1" w:styleId="47">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48">
    <w:name w:val="未处理的提及1"/>
    <w:basedOn w:val="2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98087F-F0DF-4802-8D43-600DF8E8C692}">
  <ds:schemaRefs/>
</ds:datastoreItem>
</file>

<file path=docProps/app.xml><?xml version="1.0" encoding="utf-8"?>
<Properties xmlns="http://schemas.openxmlformats.org/officeDocument/2006/extended-properties" xmlns:vt="http://schemas.openxmlformats.org/officeDocument/2006/docPropsVTypes">
  <Template>Normal</Template>
  <Company>MS</Company>
  <Pages>72</Pages>
  <Words>43699</Words>
  <Characters>44663</Characters>
  <Lines>355</Lines>
  <Paragraphs>100</Paragraphs>
  <TotalTime>5</TotalTime>
  <ScaleCrop>false</ScaleCrop>
  <LinksUpToDate>false</LinksUpToDate>
  <CharactersWithSpaces>46533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2020-07-30T22:30:00Z</dcterms:created>
  <dc:creator>lenovo</dc:creator>
  <cp:lastModifiedBy>Administrator</cp:lastModifiedBy>
  <dcterms:modified xsi:type="dcterms:W3CDTF">2024-10-22T03:25:17Z</dcterms:modified>
  <cp:revision>2019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90012290EE1E4F098C53B93A74420BE5_12</vt:lpwstr>
  </property>
</Properties>
</file>