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page" w:tblpXSpec="center" w:tblpY="1170"/>
        <w:tblOverlap w:val="never"/>
        <w:tblW w:w="1455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27"/>
        <w:gridCol w:w="1017"/>
        <w:gridCol w:w="1119"/>
        <w:gridCol w:w="5660"/>
        <w:gridCol w:w="61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5" w:hRule="atLeast"/>
          <w:jc w:val="center"/>
        </w:trPr>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lang w:eastAsia="zh-CN"/>
              </w:rPr>
            </w:pPr>
            <w:r>
              <w:rPr>
                <w:rFonts w:hint="eastAsia" w:ascii="仿宋" w:hAnsi="仿宋" w:eastAsia="仿宋" w:cs="仿宋"/>
                <w:sz w:val="20"/>
                <w:szCs w:val="20"/>
                <w:lang w:eastAsia="zh-CN"/>
              </w:rPr>
              <w:t>单位名称</w:t>
            </w:r>
          </w:p>
        </w:tc>
        <w:tc>
          <w:tcPr>
            <w:tcW w:w="1017" w:type="dxa"/>
            <w:tcBorders>
              <w:top w:val="single" w:color="000000" w:sz="4" w:space="0"/>
              <w:left w:val="nil"/>
              <w:bottom w:val="single" w:color="000000" w:sz="4" w:space="0"/>
              <w:right w:val="single" w:color="000000" w:sz="4" w:space="0"/>
            </w:tcBorders>
            <w:shd w:val="clear" w:color="auto" w:fill="auto"/>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rPr>
            </w:pPr>
            <w:r>
              <w:rPr>
                <w:rFonts w:hint="eastAsia" w:ascii="仿宋" w:hAnsi="仿宋" w:eastAsia="仿宋" w:cs="仿宋"/>
                <w:sz w:val="20"/>
                <w:szCs w:val="20"/>
                <w:u w:val="none"/>
              </w:rPr>
              <w:t>项</w:t>
            </w:r>
            <w:r>
              <w:rPr>
                <w:rFonts w:hint="eastAsia" w:ascii="仿宋" w:hAnsi="仿宋" w:eastAsia="仿宋" w:cs="仿宋"/>
                <w:sz w:val="20"/>
                <w:szCs w:val="20"/>
                <w:u w:val="none"/>
                <w:lang w:eastAsia="zh-CN"/>
              </w:rPr>
              <w:t>目</w:t>
            </w:r>
            <w:r>
              <w:rPr>
                <w:rFonts w:hint="eastAsia" w:ascii="仿宋" w:hAnsi="仿宋" w:eastAsia="仿宋" w:cs="仿宋"/>
                <w:sz w:val="20"/>
                <w:szCs w:val="20"/>
                <w:u w:val="none"/>
              </w:rPr>
              <w:t>名称</w:t>
            </w:r>
          </w:p>
        </w:tc>
        <w:tc>
          <w:tcPr>
            <w:tcW w:w="1119" w:type="dxa"/>
            <w:tcBorders>
              <w:top w:val="single" w:color="000000" w:sz="4" w:space="0"/>
              <w:left w:val="nil"/>
              <w:bottom w:val="single" w:color="000000" w:sz="4" w:space="0"/>
              <w:right w:val="single" w:color="000000" w:sz="4" w:space="0"/>
            </w:tcBorders>
            <w:shd w:val="clear" w:color="auto" w:fill="auto"/>
            <w:textDirection w:val="lrTb"/>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rPr>
            </w:pPr>
            <w:r>
              <w:rPr>
                <w:rFonts w:hint="eastAsia" w:ascii="仿宋" w:hAnsi="仿宋" w:eastAsia="仿宋" w:cs="仿宋"/>
                <w:sz w:val="20"/>
                <w:szCs w:val="20"/>
                <w:u w:val="none"/>
                <w:lang w:eastAsia="zh-CN"/>
              </w:rPr>
              <w:t>检</w:t>
            </w:r>
            <w:r>
              <w:rPr>
                <w:rFonts w:hint="eastAsia" w:ascii="仿宋" w:hAnsi="仿宋" w:eastAsia="仿宋" w:cs="仿宋"/>
                <w:sz w:val="20"/>
                <w:szCs w:val="20"/>
                <w:u w:val="none"/>
              </w:rPr>
              <w:t>查方式</w:t>
            </w:r>
          </w:p>
        </w:tc>
        <w:tc>
          <w:tcPr>
            <w:tcW w:w="5660" w:type="dxa"/>
            <w:tcBorders>
              <w:top w:val="single" w:color="000000" w:sz="4" w:space="0"/>
              <w:left w:val="nil"/>
              <w:bottom w:val="single" w:color="000000" w:sz="4" w:space="0"/>
              <w:right w:val="single" w:color="000000" w:sz="4" w:space="0"/>
            </w:tcBorders>
            <w:shd w:val="clear" w:color="auto" w:fill="auto"/>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rPr>
            </w:pPr>
            <w:r>
              <w:rPr>
                <w:rFonts w:hint="eastAsia" w:ascii="仿宋" w:hAnsi="仿宋" w:eastAsia="仿宋" w:cs="仿宋"/>
                <w:sz w:val="20"/>
                <w:szCs w:val="20"/>
                <w:u w:val="none"/>
                <w:lang w:eastAsia="zh-CN"/>
              </w:rPr>
              <w:t>检</w:t>
            </w:r>
            <w:r>
              <w:rPr>
                <w:rFonts w:hint="eastAsia" w:ascii="仿宋" w:hAnsi="仿宋" w:eastAsia="仿宋" w:cs="仿宋"/>
                <w:sz w:val="20"/>
                <w:szCs w:val="20"/>
                <w:u w:val="none"/>
              </w:rPr>
              <w:t>查依据</w:t>
            </w:r>
          </w:p>
        </w:tc>
        <w:tc>
          <w:tcPr>
            <w:tcW w:w="6135" w:type="dxa"/>
            <w:tcBorders>
              <w:top w:val="single" w:color="000000" w:sz="4" w:space="0"/>
              <w:left w:val="nil"/>
              <w:bottom w:val="single" w:color="000000" w:sz="4" w:space="0"/>
              <w:right w:val="single" w:color="000000" w:sz="4" w:space="0"/>
            </w:tcBorders>
            <w:shd w:val="clear" w:color="auto" w:fill="auto"/>
            <w:textDirection w:val="lrTb"/>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rPr>
            </w:pPr>
            <w:r>
              <w:rPr>
                <w:rFonts w:hint="eastAsia" w:ascii="仿宋" w:hAnsi="仿宋" w:eastAsia="仿宋" w:cs="仿宋"/>
                <w:sz w:val="20"/>
                <w:szCs w:val="20"/>
                <w:u w:val="none"/>
                <w:lang w:eastAsia="zh-CN"/>
              </w:rPr>
              <w:t>检</w:t>
            </w:r>
            <w:r>
              <w:rPr>
                <w:rFonts w:hint="eastAsia" w:ascii="仿宋" w:hAnsi="仿宋" w:eastAsia="仿宋" w:cs="仿宋"/>
                <w:sz w:val="20"/>
                <w:szCs w:val="20"/>
                <w:u w:val="none"/>
              </w:rPr>
              <w:t>查内容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150" w:hRule="atLeast"/>
          <w:jc w:val="center"/>
        </w:trPr>
        <w:tc>
          <w:tcPr>
            <w:tcW w:w="627" w:type="dxa"/>
            <w:vMerge w:val="restart"/>
            <w:tcBorders>
              <w:top w:val="nil"/>
              <w:left w:val="single" w:color="000000" w:sz="4" w:space="0"/>
              <w:right w:val="single" w:color="000000" w:sz="4" w:space="0"/>
            </w:tcBorders>
            <w:shd w:val="clear" w:color="auto" w:fill="auto"/>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u w:val="none"/>
                <w:lang w:eastAsia="zh-CN"/>
              </w:rPr>
            </w:pPr>
            <w:r>
              <w:rPr>
                <w:rFonts w:hint="eastAsia" w:ascii="仿宋" w:hAnsi="仿宋" w:eastAsia="仿宋" w:cs="仿宋"/>
                <w:sz w:val="20"/>
                <w:szCs w:val="20"/>
                <w:u w:val="none"/>
                <w:lang w:eastAsia="zh-CN"/>
              </w:rPr>
              <w:t>清</w:t>
            </w:r>
          </w:p>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u w:val="none"/>
                <w:lang w:eastAsia="zh-CN"/>
              </w:rPr>
            </w:pPr>
            <w:r>
              <w:rPr>
                <w:rFonts w:hint="eastAsia" w:ascii="仿宋" w:hAnsi="仿宋" w:eastAsia="仿宋" w:cs="仿宋"/>
                <w:sz w:val="20"/>
                <w:szCs w:val="20"/>
                <w:u w:val="none"/>
                <w:lang w:eastAsia="zh-CN"/>
              </w:rPr>
              <w:t>河</w:t>
            </w:r>
          </w:p>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u w:val="none"/>
                <w:lang w:eastAsia="zh-CN"/>
              </w:rPr>
            </w:pPr>
            <w:r>
              <w:rPr>
                <w:rFonts w:hint="eastAsia" w:ascii="仿宋" w:hAnsi="仿宋" w:eastAsia="仿宋" w:cs="仿宋"/>
                <w:sz w:val="20"/>
                <w:szCs w:val="20"/>
                <w:u w:val="none"/>
                <w:lang w:eastAsia="zh-CN"/>
              </w:rPr>
              <w:t>县</w:t>
            </w:r>
          </w:p>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u w:val="none"/>
                <w:lang w:eastAsia="zh-CN"/>
              </w:rPr>
            </w:pPr>
            <w:r>
              <w:rPr>
                <w:rFonts w:hint="eastAsia" w:ascii="仿宋" w:hAnsi="仿宋" w:eastAsia="仿宋" w:cs="仿宋"/>
                <w:sz w:val="20"/>
                <w:szCs w:val="20"/>
                <w:u w:val="none"/>
                <w:lang w:eastAsia="zh-CN"/>
              </w:rPr>
              <w:t>司</w:t>
            </w:r>
          </w:p>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u w:val="none"/>
                <w:lang w:eastAsia="zh-CN"/>
              </w:rPr>
            </w:pPr>
            <w:r>
              <w:rPr>
                <w:rFonts w:hint="eastAsia" w:ascii="仿宋" w:hAnsi="仿宋" w:eastAsia="仿宋" w:cs="仿宋"/>
                <w:sz w:val="20"/>
                <w:szCs w:val="20"/>
                <w:u w:val="none"/>
                <w:lang w:eastAsia="zh-CN"/>
              </w:rPr>
              <w:t>法</w:t>
            </w:r>
          </w:p>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u w:val="none"/>
                <w:lang w:eastAsia="zh-CN"/>
              </w:rPr>
            </w:pPr>
            <w:r>
              <w:rPr>
                <w:rFonts w:hint="eastAsia" w:ascii="仿宋" w:hAnsi="仿宋" w:eastAsia="仿宋" w:cs="仿宋"/>
                <w:sz w:val="20"/>
                <w:szCs w:val="20"/>
                <w:u w:val="none"/>
                <w:lang w:eastAsia="zh-CN"/>
              </w:rPr>
              <w:t>局</w:t>
            </w:r>
          </w:p>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lang w:val="en-US" w:eastAsia="zh-CN"/>
              </w:rPr>
            </w:pPr>
          </w:p>
        </w:tc>
        <w:tc>
          <w:tcPr>
            <w:tcW w:w="1017" w:type="dxa"/>
            <w:tcBorders>
              <w:top w:val="nil"/>
              <w:left w:val="nil"/>
              <w:bottom w:val="single" w:color="000000" w:sz="4" w:space="0"/>
              <w:right w:val="single" w:color="000000" w:sz="4" w:space="0"/>
            </w:tcBorders>
            <w:shd w:val="clear" w:color="auto" w:fill="auto"/>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rPr>
            </w:pPr>
            <w:r>
              <w:rPr>
                <w:rFonts w:hint="eastAsia" w:ascii="仿宋" w:hAnsi="仿宋" w:eastAsia="仿宋" w:cs="仿宋"/>
                <w:sz w:val="20"/>
                <w:szCs w:val="20"/>
                <w:u w:val="none"/>
              </w:rPr>
              <w:t>对律师事务所和律师执业活动的监管</w:t>
            </w:r>
          </w:p>
        </w:tc>
        <w:tc>
          <w:tcPr>
            <w:tcW w:w="1119" w:type="dxa"/>
            <w:tcBorders>
              <w:top w:val="nil"/>
              <w:left w:val="nil"/>
              <w:bottom w:val="single" w:color="000000" w:sz="4" w:space="0"/>
              <w:right w:val="single" w:color="000000" w:sz="4" w:space="0"/>
            </w:tcBorders>
            <w:shd w:val="clear" w:color="auto" w:fill="auto"/>
            <w:textDirection w:val="lrTb"/>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rPr>
            </w:pPr>
            <w:r>
              <w:rPr>
                <w:rFonts w:hint="eastAsia" w:ascii="仿宋" w:hAnsi="仿宋" w:eastAsia="仿宋" w:cs="仿宋"/>
                <w:sz w:val="20"/>
                <w:szCs w:val="20"/>
                <w:u w:val="none"/>
              </w:rPr>
              <w:t>定期抽查和不定期抽查相结合的方式</w:t>
            </w:r>
          </w:p>
        </w:tc>
        <w:tc>
          <w:tcPr>
            <w:tcW w:w="5660" w:type="dxa"/>
            <w:tcBorders>
              <w:top w:val="nil"/>
              <w:left w:val="nil"/>
              <w:bottom w:val="single" w:color="000000" w:sz="4" w:space="0"/>
              <w:right w:val="single" w:color="000000" w:sz="4" w:space="0"/>
            </w:tcBorders>
            <w:shd w:val="clear" w:color="auto" w:fill="auto"/>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both"/>
              <w:textAlignment w:val="auto"/>
              <w:outlineLvl w:val="9"/>
              <w:rPr>
                <w:rFonts w:hint="eastAsia" w:ascii="仿宋" w:hAnsi="仿宋" w:eastAsia="仿宋" w:cs="仿宋"/>
                <w:sz w:val="20"/>
                <w:szCs w:val="20"/>
              </w:rPr>
            </w:pPr>
            <w:r>
              <w:rPr>
                <w:rFonts w:hint="eastAsia" w:ascii="仿宋" w:hAnsi="仿宋" w:eastAsia="仿宋" w:cs="仿宋"/>
                <w:sz w:val="20"/>
                <w:szCs w:val="20"/>
                <w:u w:val="none"/>
              </w:rPr>
              <w:t>《律师法》（主席令 第六十四号《全国人民代表大会常务委员会关于修改〈中华人民共和国律师法〉的决定》已由中华人民共和国第十一届全国人民代表大会常务委员会第二十九次会议于２０１２年１０月２６日通过，自２０１３年１月１日起施行。 ）</w:t>
            </w:r>
            <w:r>
              <w:rPr>
                <w:rFonts w:hint="eastAsia" w:ascii="仿宋" w:hAnsi="仿宋" w:eastAsia="仿宋" w:cs="仿宋"/>
                <w:sz w:val="20"/>
                <w:szCs w:val="20"/>
              </w:rPr>
              <w:t> </w:t>
            </w:r>
            <w:r>
              <w:rPr>
                <w:rFonts w:hint="eastAsia" w:ascii="仿宋" w:hAnsi="仿宋" w:eastAsia="仿宋" w:cs="仿宋"/>
                <w:sz w:val="20"/>
                <w:szCs w:val="20"/>
                <w:u w:val="none"/>
              </w:rPr>
              <w:t>第五十二条：县级人民政府司法行政部门对律师和律师事务所的执业活动实施日常监督管理。</w:t>
            </w:r>
          </w:p>
        </w:tc>
        <w:tc>
          <w:tcPr>
            <w:tcW w:w="6135" w:type="dxa"/>
            <w:tcBorders>
              <w:top w:val="nil"/>
              <w:left w:val="nil"/>
              <w:bottom w:val="single" w:color="000000" w:sz="4" w:space="0"/>
              <w:right w:val="single" w:color="000000" w:sz="4" w:space="0"/>
            </w:tcBorders>
            <w:shd w:val="clear" w:color="auto" w:fill="auto"/>
            <w:textDirection w:val="lrTb"/>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both"/>
              <w:textAlignment w:val="auto"/>
              <w:outlineLvl w:val="9"/>
              <w:rPr>
                <w:rFonts w:hint="eastAsia" w:ascii="仿宋" w:hAnsi="仿宋" w:eastAsia="仿宋" w:cs="仿宋"/>
                <w:sz w:val="20"/>
                <w:szCs w:val="20"/>
              </w:rPr>
            </w:pPr>
            <w:r>
              <w:rPr>
                <w:rFonts w:hint="eastAsia" w:ascii="仿宋" w:hAnsi="仿宋" w:eastAsia="仿宋" w:cs="仿宋"/>
                <w:sz w:val="20"/>
                <w:szCs w:val="20"/>
                <w:u w:val="none"/>
              </w:rPr>
              <w:t>（一）遵守法律、法规、规章情况。包括遵守《律师法》、《律师执业管理办法》、《律师事务所管理办法》、《律师事务所年度检查考核办法》和依法开展业务活动；（二）业务开展情况。包括律师业务的数量和质量、办理重大法律案件是否集体讨论、履行法律援助义务、参加社会服务及其他社会公益活动等情况；（三）恪守职业道德和遵守执业纪律情况；（四）制定和执行管理制度情况；（五）法律、法规、规章规定的其他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884" w:hRule="atLeast"/>
          <w:jc w:val="center"/>
        </w:trPr>
        <w:tc>
          <w:tcPr>
            <w:tcW w:w="627" w:type="dxa"/>
            <w:vMerge w:val="continue"/>
            <w:tcBorders>
              <w:left w:val="single" w:color="000000" w:sz="4" w:space="0"/>
              <w:right w:val="single" w:color="000000" w:sz="4" w:space="0"/>
            </w:tcBorders>
            <w:shd w:val="clear" w:color="auto" w:fill="auto"/>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lang w:val="en-US" w:eastAsia="zh-CN"/>
              </w:rPr>
            </w:pPr>
          </w:p>
        </w:tc>
        <w:tc>
          <w:tcPr>
            <w:tcW w:w="1017" w:type="dxa"/>
            <w:tcBorders>
              <w:top w:val="nil"/>
              <w:left w:val="nil"/>
              <w:bottom w:val="nil"/>
              <w:right w:val="single" w:color="000000" w:sz="4" w:space="0"/>
            </w:tcBorders>
            <w:shd w:val="clear" w:color="auto" w:fill="auto"/>
            <w:textDirection w:val="lrTb"/>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rPr>
            </w:pPr>
            <w:r>
              <w:rPr>
                <w:rFonts w:hint="eastAsia" w:ascii="仿宋" w:hAnsi="仿宋" w:eastAsia="仿宋" w:cs="仿宋"/>
                <w:sz w:val="20"/>
                <w:szCs w:val="20"/>
                <w:u w:val="none"/>
              </w:rPr>
              <w:t>对司法鉴定机构和司法鉴定人执业活动的监管</w:t>
            </w:r>
          </w:p>
        </w:tc>
        <w:tc>
          <w:tcPr>
            <w:tcW w:w="1119" w:type="dxa"/>
            <w:tcBorders>
              <w:top w:val="nil"/>
              <w:left w:val="nil"/>
              <w:bottom w:val="nil"/>
              <w:right w:val="single" w:color="000000" w:sz="4" w:space="0"/>
            </w:tcBorders>
            <w:shd w:val="clear" w:color="auto" w:fill="auto"/>
            <w:textDirection w:val="lrTb"/>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rPr>
            </w:pPr>
            <w:r>
              <w:rPr>
                <w:rFonts w:hint="eastAsia" w:ascii="仿宋" w:hAnsi="仿宋" w:eastAsia="仿宋" w:cs="仿宋"/>
                <w:sz w:val="20"/>
                <w:szCs w:val="20"/>
                <w:u w:val="none"/>
              </w:rPr>
              <w:t>定期抽查和不定期抽查相结合的方式</w:t>
            </w:r>
          </w:p>
        </w:tc>
        <w:tc>
          <w:tcPr>
            <w:tcW w:w="5660" w:type="dxa"/>
            <w:tcBorders>
              <w:top w:val="nil"/>
              <w:left w:val="nil"/>
              <w:bottom w:val="nil"/>
              <w:right w:val="single" w:color="000000" w:sz="4" w:space="0"/>
            </w:tcBorders>
            <w:shd w:val="clear" w:color="auto" w:fill="auto"/>
            <w:textDirection w:val="lrTb"/>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both"/>
              <w:textAlignment w:val="auto"/>
              <w:outlineLvl w:val="9"/>
              <w:rPr>
                <w:rFonts w:hint="eastAsia" w:ascii="仿宋" w:hAnsi="仿宋" w:eastAsia="仿宋" w:cs="仿宋"/>
                <w:sz w:val="20"/>
                <w:szCs w:val="20"/>
              </w:rPr>
            </w:pPr>
            <w:r>
              <w:rPr>
                <w:rFonts w:hint="eastAsia" w:ascii="仿宋" w:hAnsi="仿宋" w:eastAsia="仿宋" w:cs="仿宋"/>
                <w:sz w:val="20"/>
                <w:szCs w:val="20"/>
                <w:u w:val="none"/>
              </w:rPr>
              <w:t>  《</w:t>
            </w:r>
            <w:r>
              <w:rPr>
                <w:rFonts w:hint="eastAsia" w:ascii="仿宋" w:hAnsi="仿宋" w:eastAsia="仿宋" w:cs="仿宋"/>
                <w:sz w:val="20"/>
                <w:szCs w:val="20"/>
                <w:u w:val="none"/>
                <w:lang w:eastAsia="zh-CN"/>
              </w:rPr>
              <w:t>河北省</w:t>
            </w:r>
            <w:r>
              <w:rPr>
                <w:rFonts w:hint="eastAsia" w:ascii="仿宋" w:hAnsi="仿宋" w:eastAsia="仿宋" w:cs="仿宋"/>
                <w:sz w:val="20"/>
                <w:szCs w:val="20"/>
                <w:u w:val="none"/>
              </w:rPr>
              <w:t>司法鉴定</w:t>
            </w:r>
            <w:r>
              <w:rPr>
                <w:rFonts w:hint="eastAsia" w:ascii="仿宋" w:hAnsi="仿宋" w:eastAsia="仿宋" w:cs="仿宋"/>
                <w:sz w:val="20"/>
                <w:szCs w:val="20"/>
                <w:u w:val="none"/>
                <w:lang w:eastAsia="zh-CN"/>
              </w:rPr>
              <w:t>管理</w:t>
            </w:r>
            <w:r>
              <w:rPr>
                <w:rFonts w:hint="eastAsia" w:ascii="仿宋" w:hAnsi="仿宋" w:eastAsia="仿宋" w:cs="仿宋"/>
                <w:sz w:val="20"/>
                <w:szCs w:val="20"/>
                <w:u w:val="none"/>
              </w:rPr>
              <w:t>条例》（</w:t>
            </w:r>
            <w:r>
              <w:rPr>
                <w:rFonts w:hint="eastAsia" w:ascii="仿宋" w:hAnsi="仿宋" w:eastAsia="仿宋" w:cs="仿宋"/>
                <w:sz w:val="20"/>
                <w:szCs w:val="20"/>
                <w:u w:val="none"/>
                <w:lang w:eastAsia="zh-CN"/>
              </w:rPr>
              <w:t>河北省</w:t>
            </w:r>
            <w:r>
              <w:rPr>
                <w:rFonts w:hint="eastAsia" w:ascii="仿宋" w:hAnsi="仿宋" w:eastAsia="仿宋" w:cs="仿宋"/>
                <w:sz w:val="20"/>
                <w:szCs w:val="20"/>
                <w:u w:val="none"/>
              </w:rPr>
              <w:t>第</w:t>
            </w:r>
            <w:r>
              <w:rPr>
                <w:rFonts w:hint="eastAsia" w:ascii="仿宋" w:hAnsi="仿宋" w:eastAsia="仿宋" w:cs="仿宋"/>
                <w:sz w:val="20"/>
                <w:szCs w:val="20"/>
                <w:u w:val="none"/>
                <w:lang w:eastAsia="zh-CN"/>
              </w:rPr>
              <w:t>九</w:t>
            </w:r>
            <w:r>
              <w:rPr>
                <w:rFonts w:hint="eastAsia" w:ascii="仿宋" w:hAnsi="仿宋" w:eastAsia="仿宋" w:cs="仿宋"/>
                <w:sz w:val="20"/>
                <w:szCs w:val="20"/>
                <w:u w:val="none"/>
              </w:rPr>
              <w:t>届人民代表大会常务委员会</w:t>
            </w:r>
            <w:r>
              <w:rPr>
                <w:rFonts w:hint="eastAsia" w:ascii="仿宋" w:hAnsi="仿宋" w:eastAsia="仿宋" w:cs="仿宋"/>
                <w:sz w:val="20"/>
                <w:szCs w:val="20"/>
                <w:u w:val="none"/>
                <w:lang w:eastAsia="zh-CN"/>
              </w:rPr>
              <w:t>公告</w:t>
            </w:r>
            <w:r>
              <w:rPr>
                <w:rFonts w:hint="eastAsia" w:ascii="仿宋" w:hAnsi="仿宋" w:eastAsia="仿宋" w:cs="仿宋"/>
                <w:sz w:val="20"/>
                <w:szCs w:val="20"/>
                <w:u w:val="none"/>
              </w:rPr>
              <w:t>第</w:t>
            </w:r>
            <w:r>
              <w:rPr>
                <w:rFonts w:hint="eastAsia" w:ascii="仿宋" w:hAnsi="仿宋" w:eastAsia="仿宋" w:cs="仿宋"/>
                <w:sz w:val="20"/>
                <w:szCs w:val="20"/>
                <w:u w:val="none"/>
                <w:lang w:val="en-US" w:eastAsia="zh-CN"/>
              </w:rPr>
              <w:t>81号</w:t>
            </w:r>
            <w:r>
              <w:rPr>
                <w:rFonts w:hint="eastAsia" w:ascii="仿宋" w:hAnsi="仿宋" w:eastAsia="仿宋" w:cs="仿宋"/>
                <w:sz w:val="20"/>
                <w:szCs w:val="20"/>
                <w:u w:val="none"/>
              </w:rPr>
              <w:t>，自20</w:t>
            </w:r>
            <w:r>
              <w:rPr>
                <w:rFonts w:hint="eastAsia" w:ascii="仿宋" w:hAnsi="仿宋" w:eastAsia="仿宋" w:cs="仿宋"/>
                <w:sz w:val="20"/>
                <w:szCs w:val="20"/>
                <w:u w:val="none"/>
                <w:lang w:val="en-US" w:eastAsia="zh-CN"/>
              </w:rPr>
              <w:t>03</w:t>
            </w:r>
            <w:r>
              <w:rPr>
                <w:rFonts w:hint="eastAsia" w:ascii="仿宋" w:hAnsi="仿宋" w:eastAsia="仿宋" w:cs="仿宋"/>
                <w:sz w:val="20"/>
                <w:szCs w:val="20"/>
                <w:u w:val="none"/>
              </w:rPr>
              <w:t>年</w:t>
            </w:r>
            <w:r>
              <w:rPr>
                <w:rFonts w:hint="eastAsia" w:ascii="仿宋" w:hAnsi="仿宋" w:eastAsia="仿宋" w:cs="仿宋"/>
                <w:sz w:val="20"/>
                <w:szCs w:val="20"/>
                <w:u w:val="none"/>
                <w:lang w:val="en-US" w:eastAsia="zh-CN"/>
              </w:rPr>
              <w:t>1</w:t>
            </w:r>
            <w:r>
              <w:rPr>
                <w:rFonts w:hint="eastAsia" w:ascii="仿宋" w:hAnsi="仿宋" w:eastAsia="仿宋" w:cs="仿宋"/>
                <w:sz w:val="20"/>
                <w:szCs w:val="20"/>
                <w:u w:val="none"/>
              </w:rPr>
              <w:t>月1日起施行。）第</w:t>
            </w:r>
            <w:r>
              <w:rPr>
                <w:rFonts w:hint="eastAsia" w:ascii="仿宋" w:hAnsi="仿宋" w:eastAsia="仿宋" w:cs="仿宋"/>
                <w:sz w:val="20"/>
                <w:szCs w:val="20"/>
                <w:u w:val="none"/>
                <w:lang w:eastAsia="zh-CN"/>
              </w:rPr>
              <w:t>四</w:t>
            </w:r>
            <w:r>
              <w:rPr>
                <w:rFonts w:hint="eastAsia" w:ascii="仿宋" w:hAnsi="仿宋" w:eastAsia="仿宋" w:cs="仿宋"/>
                <w:sz w:val="20"/>
                <w:szCs w:val="20"/>
                <w:u w:val="none"/>
              </w:rPr>
              <w:t>条</w:t>
            </w:r>
            <w:r>
              <w:rPr>
                <w:rFonts w:hint="eastAsia" w:ascii="仿宋" w:hAnsi="仿宋" w:eastAsia="仿宋" w:cs="仿宋"/>
                <w:sz w:val="20"/>
                <w:szCs w:val="20"/>
                <w:u w:val="none"/>
                <w:lang w:eastAsia="zh-CN"/>
              </w:rPr>
              <w:t>：</w:t>
            </w:r>
            <w:r>
              <w:rPr>
                <w:rFonts w:hint="eastAsia" w:ascii="仿宋" w:hAnsi="仿宋" w:eastAsia="仿宋" w:cs="仿宋"/>
                <w:sz w:val="20"/>
                <w:szCs w:val="20"/>
                <w:u w:val="none"/>
              </w:rPr>
              <w:t>县</w:t>
            </w:r>
            <w:r>
              <w:rPr>
                <w:rFonts w:hint="eastAsia" w:ascii="仿宋" w:hAnsi="仿宋" w:eastAsia="仿宋" w:cs="仿宋"/>
                <w:sz w:val="20"/>
                <w:szCs w:val="20"/>
                <w:u w:val="none"/>
                <w:lang w:eastAsia="zh-CN"/>
              </w:rPr>
              <w:t>级以上</w:t>
            </w:r>
            <w:r>
              <w:rPr>
                <w:rFonts w:hint="eastAsia" w:ascii="仿宋" w:hAnsi="仿宋" w:eastAsia="仿宋" w:cs="仿宋"/>
                <w:sz w:val="20"/>
                <w:szCs w:val="20"/>
                <w:u w:val="none"/>
              </w:rPr>
              <w:t>人民政府司法行政部门</w:t>
            </w:r>
            <w:r>
              <w:rPr>
                <w:rFonts w:hint="eastAsia" w:ascii="仿宋" w:hAnsi="仿宋" w:eastAsia="仿宋" w:cs="仿宋"/>
                <w:sz w:val="20"/>
                <w:szCs w:val="20"/>
                <w:u w:val="none"/>
                <w:lang w:eastAsia="zh-CN"/>
              </w:rPr>
              <w:t>负责监督、管理</w:t>
            </w:r>
            <w:r>
              <w:rPr>
                <w:rFonts w:hint="eastAsia" w:ascii="仿宋" w:hAnsi="仿宋" w:eastAsia="仿宋" w:cs="仿宋"/>
                <w:sz w:val="20"/>
                <w:szCs w:val="20"/>
                <w:u w:val="none"/>
              </w:rPr>
              <w:t>本行政区域的司法鉴定</w:t>
            </w:r>
            <w:r>
              <w:rPr>
                <w:rFonts w:hint="eastAsia" w:ascii="仿宋" w:hAnsi="仿宋" w:eastAsia="仿宋" w:cs="仿宋"/>
                <w:sz w:val="20"/>
                <w:szCs w:val="20"/>
                <w:u w:val="none"/>
                <w:lang w:eastAsia="zh-CN"/>
              </w:rPr>
              <w:t>机构及其鉴定活动</w:t>
            </w:r>
            <w:r>
              <w:rPr>
                <w:rFonts w:hint="eastAsia" w:ascii="仿宋" w:hAnsi="仿宋" w:eastAsia="仿宋" w:cs="仿宋"/>
                <w:sz w:val="20"/>
                <w:szCs w:val="20"/>
                <w:u w:val="none"/>
              </w:rPr>
              <w:t>。</w:t>
            </w:r>
          </w:p>
        </w:tc>
        <w:tc>
          <w:tcPr>
            <w:tcW w:w="6135" w:type="dxa"/>
            <w:tcBorders>
              <w:top w:val="nil"/>
              <w:left w:val="nil"/>
              <w:bottom w:val="nil"/>
              <w:right w:val="single" w:color="000000" w:sz="4" w:space="0"/>
            </w:tcBorders>
            <w:shd w:val="clear" w:color="auto" w:fill="auto"/>
            <w:textDirection w:val="lrTb"/>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both"/>
              <w:textAlignment w:val="auto"/>
              <w:outlineLvl w:val="9"/>
              <w:rPr>
                <w:rFonts w:hint="eastAsia" w:ascii="仿宋" w:hAnsi="仿宋" w:eastAsia="仿宋" w:cs="仿宋"/>
                <w:sz w:val="20"/>
                <w:szCs w:val="20"/>
              </w:rPr>
            </w:pPr>
            <w:r>
              <w:rPr>
                <w:rFonts w:hint="eastAsia" w:ascii="仿宋" w:hAnsi="仿宋" w:eastAsia="仿宋" w:cs="仿宋"/>
                <w:sz w:val="20"/>
                <w:szCs w:val="20"/>
                <w:u w:val="none"/>
              </w:rPr>
              <w:t> （ 一）遵守法律、法规、规章情况和依法开展司法鉴定活动等情况；（二）执行司法鉴定程序、技术标准和操作规范情况；（三）业务开展和鉴定质量情况。包括鉴定业务的数量和质量、履行法律援助义务等情况；（四）恪守职业道德和遵守执业纪律情况；（五）制定和执行管理制度情况。包括质量控制、投诉处理、人员、财务、档案管理等制度建设和实施情况；（六）法律、法规、规章规定的其他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jc w:val="center"/>
        </w:trPr>
        <w:tc>
          <w:tcPr>
            <w:tcW w:w="627" w:type="dxa"/>
            <w:vMerge w:val="restart"/>
            <w:tcBorders>
              <w:left w:val="single" w:color="000000" w:sz="4" w:space="0"/>
              <w:right w:val="single" w:color="000000" w:sz="4" w:space="0"/>
            </w:tcBorders>
            <w:shd w:val="clear" w:color="auto" w:fill="auto"/>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lang w:val="en-US" w:eastAsia="zh-CN"/>
              </w:rPr>
            </w:pPr>
          </w:p>
        </w:tc>
        <w:tc>
          <w:tcPr>
            <w:tcW w:w="1017" w:type="dxa"/>
            <w:tcBorders>
              <w:top w:val="nil"/>
              <w:left w:val="nil"/>
              <w:bottom w:val="single" w:color="auto" w:sz="4" w:space="0"/>
              <w:right w:val="single" w:color="000000" w:sz="4" w:space="0"/>
            </w:tcBorders>
            <w:shd w:val="clear" w:color="auto" w:fill="auto"/>
            <w:textDirection w:val="lrTb"/>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u w:val="none"/>
              </w:rPr>
            </w:pPr>
          </w:p>
        </w:tc>
        <w:tc>
          <w:tcPr>
            <w:tcW w:w="1119" w:type="dxa"/>
            <w:tcBorders>
              <w:top w:val="nil"/>
              <w:left w:val="nil"/>
              <w:bottom w:val="single" w:color="auto" w:sz="4" w:space="0"/>
              <w:right w:val="single" w:color="000000" w:sz="4" w:space="0"/>
            </w:tcBorders>
            <w:shd w:val="clear" w:color="auto" w:fill="auto"/>
            <w:textDirection w:val="lrTb"/>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u w:val="none"/>
              </w:rPr>
            </w:pPr>
          </w:p>
        </w:tc>
        <w:tc>
          <w:tcPr>
            <w:tcW w:w="5660" w:type="dxa"/>
            <w:tcBorders>
              <w:top w:val="nil"/>
              <w:left w:val="nil"/>
              <w:bottom w:val="single" w:color="auto" w:sz="4" w:space="0"/>
              <w:right w:val="single" w:color="000000" w:sz="4" w:space="0"/>
            </w:tcBorders>
            <w:shd w:val="clear" w:color="auto" w:fill="auto"/>
            <w:textDirection w:val="lrTb"/>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both"/>
              <w:textAlignment w:val="auto"/>
              <w:outlineLvl w:val="9"/>
              <w:rPr>
                <w:rFonts w:hint="eastAsia" w:ascii="仿宋" w:hAnsi="仿宋" w:eastAsia="仿宋" w:cs="仿宋"/>
                <w:sz w:val="20"/>
                <w:szCs w:val="20"/>
                <w:u w:val="none"/>
              </w:rPr>
            </w:pPr>
          </w:p>
        </w:tc>
        <w:tc>
          <w:tcPr>
            <w:tcW w:w="6135" w:type="dxa"/>
            <w:tcBorders>
              <w:top w:val="nil"/>
              <w:left w:val="nil"/>
              <w:bottom w:val="single" w:color="auto" w:sz="4" w:space="0"/>
              <w:right w:val="single" w:color="000000" w:sz="4" w:space="0"/>
            </w:tcBorders>
            <w:shd w:val="clear" w:color="auto" w:fill="auto"/>
            <w:textDirection w:val="lrTb"/>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both"/>
              <w:textAlignment w:val="auto"/>
              <w:outlineLvl w:val="9"/>
              <w:rPr>
                <w:rFonts w:hint="eastAsia" w:ascii="仿宋" w:hAnsi="仿宋" w:eastAsia="仿宋" w:cs="仿宋"/>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508" w:hRule="atLeast"/>
          <w:jc w:val="center"/>
        </w:trPr>
        <w:tc>
          <w:tcPr>
            <w:tcW w:w="627" w:type="dxa"/>
            <w:vMerge w:val="continue"/>
            <w:tcBorders>
              <w:left w:val="single" w:color="000000" w:sz="4" w:space="0"/>
              <w:bottom w:val="single" w:color="000000" w:sz="4" w:space="0"/>
              <w:right w:val="single" w:color="000000" w:sz="4" w:space="0"/>
            </w:tcBorders>
            <w:shd w:val="clear" w:color="auto" w:fill="auto"/>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lang w:val="en-US" w:eastAsia="zh-CN"/>
              </w:rPr>
            </w:pPr>
          </w:p>
        </w:tc>
        <w:tc>
          <w:tcPr>
            <w:tcW w:w="1017" w:type="dxa"/>
            <w:tcBorders>
              <w:top w:val="single" w:color="auto" w:sz="4" w:space="0"/>
              <w:left w:val="nil"/>
              <w:bottom w:val="single" w:color="000000" w:sz="4" w:space="0"/>
              <w:right w:val="single" w:color="000000" w:sz="4" w:space="0"/>
            </w:tcBorders>
            <w:shd w:val="clear" w:color="auto" w:fill="auto"/>
            <w:textDirection w:val="lrTb"/>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u w:val="none"/>
              </w:rPr>
            </w:pPr>
            <w:r>
              <w:rPr>
                <w:rFonts w:hint="default" w:ascii="仿宋_GB2312" w:hAnsi="楷体" w:eastAsia="仿宋_GB2312" w:cs="仿宋_GB2312"/>
                <w:sz w:val="20"/>
                <w:szCs w:val="20"/>
                <w:u w:val="none"/>
              </w:rPr>
              <w:t>对基层法律服务所和基层法律服务工作者执业活动的监管</w:t>
            </w:r>
          </w:p>
        </w:tc>
        <w:tc>
          <w:tcPr>
            <w:tcW w:w="1119" w:type="dxa"/>
            <w:tcBorders>
              <w:top w:val="single" w:color="auto" w:sz="4" w:space="0"/>
              <w:left w:val="nil"/>
              <w:bottom w:val="single" w:color="000000" w:sz="4" w:space="0"/>
              <w:right w:val="single" w:color="000000" w:sz="4" w:space="0"/>
            </w:tcBorders>
            <w:shd w:val="clear" w:color="auto" w:fill="auto"/>
            <w:textDirection w:val="lrTb"/>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center"/>
              <w:textAlignment w:val="auto"/>
              <w:outlineLvl w:val="9"/>
              <w:rPr>
                <w:rFonts w:hint="eastAsia" w:ascii="仿宋" w:hAnsi="仿宋" w:eastAsia="仿宋" w:cs="仿宋"/>
                <w:sz w:val="20"/>
                <w:szCs w:val="20"/>
                <w:u w:val="none"/>
              </w:rPr>
            </w:pPr>
            <w:r>
              <w:rPr>
                <w:rFonts w:hint="default" w:ascii="仿宋_GB2312" w:hAnsi="楷体" w:eastAsia="仿宋_GB2312" w:cs="仿宋_GB2312"/>
                <w:sz w:val="20"/>
                <w:szCs w:val="20"/>
                <w:u w:val="none"/>
              </w:rPr>
              <w:t>定期抽查和不定期抽查相结合的方式</w:t>
            </w:r>
          </w:p>
        </w:tc>
        <w:tc>
          <w:tcPr>
            <w:tcW w:w="5660" w:type="dxa"/>
            <w:tcBorders>
              <w:top w:val="single" w:color="auto" w:sz="4" w:space="0"/>
              <w:left w:val="nil"/>
              <w:bottom w:val="single" w:color="000000" w:sz="4" w:space="0"/>
              <w:right w:val="single" w:color="000000" w:sz="4" w:space="0"/>
            </w:tcBorders>
            <w:shd w:val="clear" w:color="auto" w:fill="auto"/>
            <w:textDirection w:val="lrTb"/>
            <w:vAlign w:val="center"/>
          </w:tcPr>
          <w:p>
            <w:pPr>
              <w:pStyle w:val="2"/>
              <w:keepNext w:val="0"/>
              <w:keepLines w:val="0"/>
              <w:pageBreakBefore w:val="0"/>
              <w:widowControl/>
              <w:suppressLineNumbers w:val="0"/>
              <w:kinsoku/>
              <w:wordWrap w:val="0"/>
              <w:overflowPunct/>
              <w:topLinePunct w:val="0"/>
              <w:autoSpaceDE/>
              <w:autoSpaceDN/>
              <w:bidi w:val="0"/>
              <w:adjustRightInd/>
              <w:snapToGrid w:val="0"/>
              <w:spacing w:beforeAutospacing="0" w:afterAutospacing="0" w:line="200" w:lineRule="atLeast"/>
              <w:ind w:left="0" w:leftChars="0" w:right="0" w:rightChars="0" w:firstLine="0" w:firstLineChars="0"/>
              <w:jc w:val="both"/>
              <w:textAlignment w:val="auto"/>
              <w:outlineLvl w:val="9"/>
              <w:rPr>
                <w:sz w:val="20"/>
                <w:szCs w:val="20"/>
              </w:rPr>
            </w:pPr>
            <w:r>
              <w:rPr>
                <w:rFonts w:hint="default" w:ascii="仿宋_GB2312" w:hAnsi="楷体" w:eastAsia="仿宋_GB2312" w:cs="仿宋_GB2312"/>
                <w:sz w:val="20"/>
                <w:szCs w:val="20"/>
                <w:u w:val="none"/>
              </w:rPr>
              <w:t>《基层法律服务所管理办法》（中华人民共和国司法部令59号）第五条</w:t>
            </w:r>
            <w:r>
              <w:rPr>
                <w:rFonts w:ascii="仿宋" w:hAnsi="仿宋" w:eastAsia="仿宋" w:cs="仿宋"/>
                <w:sz w:val="20"/>
                <w:szCs w:val="20"/>
                <w:u w:val="none"/>
              </w:rPr>
              <w:t> </w:t>
            </w:r>
            <w:r>
              <w:rPr>
                <w:rFonts w:hint="default" w:ascii="仿宋_GB2312" w:hAnsi="楷体" w:eastAsia="仿宋_GB2312" w:cs="仿宋_GB2312"/>
                <w:sz w:val="20"/>
                <w:szCs w:val="20"/>
                <w:u w:val="none"/>
              </w:rPr>
              <w:t>：“司法行政机关依照本办法对基层法律服务所进行管理和指导。”第四十条：“基层法律服务所的日常执业活动和内部管理工作，由住所地的县级司法行政机关和所在乡镇、街道司法所负责指导和监督。”</w:t>
            </w:r>
          </w:p>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both"/>
              <w:textAlignment w:val="auto"/>
              <w:outlineLvl w:val="9"/>
              <w:rPr>
                <w:rFonts w:hint="eastAsia" w:ascii="仿宋" w:hAnsi="仿宋" w:eastAsia="仿宋" w:cs="仿宋"/>
                <w:sz w:val="20"/>
                <w:szCs w:val="20"/>
                <w:u w:val="none"/>
              </w:rPr>
            </w:pPr>
            <w:r>
              <w:rPr>
                <w:rFonts w:hint="default" w:ascii="仿宋_GB2312" w:hAnsi="楷体" w:eastAsia="仿宋_GB2312" w:cs="仿宋_GB2312"/>
                <w:sz w:val="20"/>
                <w:szCs w:val="20"/>
                <w:u w:val="none"/>
              </w:rPr>
              <w:t>    《基层法律服务工作者管理办法》（司法部令60号）第五十三条：“基层法律服务工作者的日常执业活动和遵守职业道德、执业纪律的情况，由所在地的县级司法行政机关和所在乡镇、街道司法所负责检查和监督。县级司法行政机关和乡镇、街道司法所可以对基层法律服务工作者的执业情况进行检查或者发现问题随时进行检查，可以要求有关人员报告工作、说明情况、提交有关材料。基层法律服务工作者及其所在的基层法律服务所不得拒绝。</w:t>
            </w:r>
          </w:p>
        </w:tc>
        <w:tc>
          <w:tcPr>
            <w:tcW w:w="6135" w:type="dxa"/>
            <w:tcBorders>
              <w:top w:val="single" w:color="auto" w:sz="4" w:space="0"/>
              <w:left w:val="nil"/>
              <w:bottom w:val="single" w:color="000000" w:sz="4" w:space="0"/>
              <w:right w:val="single" w:color="000000" w:sz="4" w:space="0"/>
            </w:tcBorders>
            <w:shd w:val="clear" w:color="auto" w:fill="auto"/>
            <w:textDirection w:val="lrTb"/>
            <w:vAlign w:val="center"/>
          </w:tcPr>
          <w:p>
            <w:pPr>
              <w:pStyle w:val="2"/>
              <w:keepNext w:val="0"/>
              <w:keepLines w:val="0"/>
              <w:pageBreakBefore w:val="0"/>
              <w:widowControl/>
              <w:suppressLineNumbers w:val="0"/>
              <w:kinsoku/>
              <w:wordWrap w:val="0"/>
              <w:overflowPunct/>
              <w:topLinePunct w:val="0"/>
              <w:autoSpaceDE/>
              <w:autoSpaceDN/>
              <w:bidi w:val="0"/>
              <w:adjustRightInd/>
              <w:spacing w:beforeAutospacing="0" w:afterAutospacing="0" w:line="200" w:lineRule="atLeast"/>
              <w:ind w:left="0" w:leftChars="0" w:right="0" w:rightChars="0" w:firstLine="0" w:firstLineChars="0"/>
              <w:jc w:val="both"/>
              <w:textAlignment w:val="auto"/>
              <w:outlineLvl w:val="9"/>
              <w:rPr>
                <w:rFonts w:hint="eastAsia" w:ascii="仿宋" w:hAnsi="仿宋" w:eastAsia="仿宋" w:cs="仿宋"/>
                <w:sz w:val="20"/>
                <w:szCs w:val="20"/>
                <w:u w:val="none"/>
              </w:rPr>
            </w:pPr>
            <w:r>
              <w:rPr>
                <w:rFonts w:hint="eastAsia" w:ascii="仿宋_GB2312" w:hAnsi="楷体" w:eastAsia="仿宋_GB2312" w:cs="仿宋_GB2312"/>
                <w:sz w:val="20"/>
                <w:szCs w:val="20"/>
                <w:u w:val="none"/>
                <w:lang w:eastAsia="zh-CN"/>
              </w:rPr>
              <w:t>（一）</w:t>
            </w:r>
            <w:r>
              <w:rPr>
                <w:rFonts w:hint="default" w:ascii="仿宋_GB2312" w:hAnsi="楷体" w:eastAsia="仿宋_GB2312" w:cs="仿宋_GB2312"/>
                <w:sz w:val="20"/>
                <w:szCs w:val="20"/>
                <w:u w:val="none"/>
              </w:rPr>
              <w:t>遵守法律、法规、规章情况。包括是否认真遵守《基层法律服务所管理办法》、《基层法律服务工作者管理办法》和依法开展业务活动；（二）业务开展情况。包括基层法律服务业务的数量和质量、办理重大法律事务等情况；（三）恪守职业道德和遵守执业纪律情况。包括参加职业道德、执业纪律教育情况，依法规范执业等情况；（四）制定和执行管理制度情况。包括执业管理、利益冲突审查、收费与财务管理、投诉查处、年度考核、档案管理等制度建设和实施情况；（五）法律、法规、规章规定的其他事项。</w:t>
            </w:r>
          </w:p>
        </w:tc>
      </w:tr>
    </w:tbl>
    <w:p>
      <w:pPr>
        <w:pStyle w:val="2"/>
        <w:keepNext w:val="0"/>
        <w:keepLines w:val="0"/>
        <w:pageBreakBefore w:val="0"/>
        <w:widowControl/>
        <w:suppressLineNumbers w:val="0"/>
        <w:kinsoku/>
        <w:wordWrap w:val="0"/>
        <w:overflowPunct/>
        <w:topLinePunct w:val="0"/>
        <w:autoSpaceDE/>
        <w:autoSpaceDN/>
        <w:bidi w:val="0"/>
        <w:adjustRightInd/>
        <w:snapToGrid w:val="0"/>
        <w:spacing w:beforeAutospacing="0" w:afterAutospacing="0" w:line="180" w:lineRule="atLeast"/>
        <w:ind w:left="0" w:leftChars="0" w:right="0" w:rightChars="0" w:firstLine="0" w:firstLineChars="0"/>
        <w:jc w:val="center"/>
        <w:textAlignment w:val="auto"/>
        <w:outlineLvl w:val="9"/>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u w:val="none"/>
          <w:shd w:val="clear" w:fill="FFFFFF"/>
          <w:lang w:eastAsia="zh-CN"/>
        </w:rPr>
        <w:t>清河县司法局</w:t>
      </w:r>
      <w:bookmarkStart w:id="0" w:name="_GoBack"/>
      <w:bookmarkEnd w:id="0"/>
      <w:r>
        <w:rPr>
          <w:rFonts w:hint="eastAsia" w:asciiTheme="majorEastAsia" w:hAnsiTheme="majorEastAsia" w:eastAsiaTheme="majorEastAsia" w:cstheme="majorEastAsia"/>
          <w:sz w:val="44"/>
          <w:szCs w:val="44"/>
          <w:u w:val="none"/>
          <w:shd w:val="clear" w:fill="FFFFFF"/>
        </w:rPr>
        <w:t>随机抽查事项清单</w:t>
      </w:r>
    </w:p>
    <w:p>
      <w:pPr>
        <w:pStyle w:val="2"/>
        <w:keepNext w:val="0"/>
        <w:keepLines w:val="0"/>
        <w:widowControl/>
        <w:suppressLineNumbers w:val="0"/>
        <w:wordWrap w:val="0"/>
        <w:snapToGrid w:val="0"/>
        <w:spacing w:before="0" w:beforeAutospacing="0" w:after="0" w:afterAutospacing="0" w:line="560" w:lineRule="atLeast"/>
        <w:ind w:left="0" w:right="0"/>
        <w:jc w:val="left"/>
      </w:pPr>
      <w:r>
        <w:rPr>
          <w:snapToGrid w:val="0"/>
          <w:shd w:val="clear" w:fill="FFFFFF"/>
        </w:rPr>
        <w:t> </w:t>
      </w:r>
    </w:p>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 w:name="汉仪仿宋简">
    <w:panose1 w:val="02010600000101010101"/>
    <w:charset w:val="86"/>
    <w:family w:val="auto"/>
    <w:pitch w:val="default"/>
    <w:sig w:usb0="00000001" w:usb1="080E0800" w:usb2="00000002" w:usb3="00000000" w:csb0="00040000" w:csb1="00000000"/>
  </w:font>
  <w:font w:name="文鼎中楷体">
    <w:panose1 w:val="03000600000000000000"/>
    <w:charset w:val="86"/>
    <w:family w:val="auto"/>
    <w:pitch w:val="default"/>
    <w:sig w:usb0="800002BF" w:usb1="184F6CF8" w:usb2="00000012" w:usb3="00000000" w:csb0="00040001" w:csb1="00000000"/>
  </w:font>
  <w:font w:name="Calibri Light">
    <w:panose1 w:val="020F0302020204030204"/>
    <w:charset w:val="00"/>
    <w:family w:val="auto"/>
    <w:pitch w:val="default"/>
    <w:sig w:usb0="E0002AFF" w:usb1="C000247B" w:usb2="00000009" w:usb3="00000000" w:csb0="200001FF" w:csb1="00000000"/>
  </w:font>
  <w:font w:name="刘德华字体叶根友仿08">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9946DD"/>
    <w:rsid w:val="05C9306A"/>
    <w:rsid w:val="1326657C"/>
    <w:rsid w:val="19276A56"/>
    <w:rsid w:val="2771360C"/>
    <w:rsid w:val="389946DD"/>
    <w:rsid w:val="63C05B20"/>
    <w:rsid w:val="671C0826"/>
    <w:rsid w:val="69CA3897"/>
    <w:rsid w:val="6E2D5008"/>
    <w:rsid w:val="6F0D7D57"/>
    <w:rsid w:val="72AF0994"/>
    <w:rsid w:val="74112238"/>
    <w:rsid w:val="75A42D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2016-10-26T08:47:00Z</dcterms:created>
  <dc:creator>Administrator</dc:creator>
  <cp:lastModifiedBy>Administrator</cp:lastModifiedBy>
  <cp:lastPrinted>2016-10-26T09:19:00Z</cp:lastPrinted>
  <dcterms:modified xsi:type="dcterms:W3CDTF">2017-05-25T01:26:22Z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2052-10.1.0.6479</vt:lpwstr>
  </property>
</Properties>
</file>