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经典粗宋简"/>
          <w:sz w:val="96"/>
          <w:szCs w:val="96"/>
          <w:lang w:val="en-US" w:eastAsia="zh-CN"/>
        </w:rPr>
      </w:pPr>
      <w:r>
        <w:rPr>
          <w:rFonts w:hint="eastAsia" w:ascii="经典粗宋简" w:hAnsi="经典粗宋简" w:eastAsia="经典粗宋简" w:cs="经典粗宋简"/>
          <w:b/>
          <w:bCs/>
          <w:color w:val="FF0000"/>
          <w:sz w:val="96"/>
          <w:szCs w:val="96"/>
        </w:rPr>
        <w:t>清河县教育局</w:t>
      </w:r>
      <w:r>
        <w:rPr>
          <w:rFonts w:hint="eastAsia" w:ascii="经典粗宋简" w:hAnsi="经典粗宋简" w:eastAsia="经典粗宋简" w:cs="经典粗宋简"/>
          <w:b/>
          <w:bCs/>
          <w:color w:val="FF0000"/>
          <w:sz w:val="96"/>
          <w:szCs w:val="96"/>
          <w:lang w:val="en-US" w:eastAsia="zh-CN"/>
        </w:rPr>
        <w:t>文件</w:t>
      </w:r>
    </w:p>
    <w:p>
      <w:pPr>
        <w:spacing w:line="460" w:lineRule="exact"/>
        <w:jc w:val="center"/>
        <w:rPr>
          <w:rFonts w:hint="eastAsia" w:ascii="宋体" w:hAnsi="宋体"/>
          <w:sz w:val="28"/>
          <w:szCs w:val="28"/>
        </w:rPr>
      </w:pPr>
    </w:p>
    <w:p>
      <w:pPr>
        <w:spacing w:line="460" w:lineRule="exact"/>
        <w:jc w:val="center"/>
        <w:rPr>
          <w:rFonts w:hint="eastAsia" w:ascii="宋体" w:hAnsi="宋体"/>
          <w:sz w:val="28"/>
          <w:szCs w:val="28"/>
        </w:rPr>
      </w:pPr>
    </w:p>
    <w:p>
      <w:pPr>
        <w:spacing w:line="640" w:lineRule="exact"/>
        <w:jc w:val="center"/>
        <w:rPr>
          <w:rFonts w:hint="eastAsia" w:ascii="仿宋_GB2312" w:eastAsia="仿宋_GB2312"/>
          <w:sz w:val="32"/>
          <w:szCs w:val="32"/>
        </w:rPr>
      </w:pP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1007745</wp:posOffset>
                </wp:positionH>
                <wp:positionV relativeFrom="page">
                  <wp:posOffset>2621915</wp:posOffset>
                </wp:positionV>
                <wp:extent cx="5713095" cy="316230"/>
                <wp:effectExtent l="0" t="0" r="0" b="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13095" cy="316230"/>
                          <a:chOff x="0" y="0"/>
                          <a:chExt cx="5713095" cy="316230"/>
                        </a:xfrm>
                      </wpg:grpSpPr>
                      <wps:wsp>
                        <wps:cNvPr id="1" name="直接连接符 1"/>
                        <wps:cNvCnPr/>
                        <wps:spPr>
                          <a:xfrm>
                            <a:off x="10795" y="161925"/>
                            <a:ext cx="2620645" cy="3175"/>
                          </a:xfrm>
                          <a:prstGeom prst="line">
                            <a:avLst/>
                          </a:prstGeom>
                          <a:ln w="21599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>
                            <a:outerShdw algn="ctr" rotWithShape="0">
                              <a:srgbClr val="C0C0C0"/>
                            </a:outerShdw>
                          </a:effectLst>
                        </wps:spPr>
                        <wps:bodyPr upright="1"/>
                      </wps:wsp>
                      <wps:wsp>
                        <wps:cNvPr id="2" name="直接连接符 2"/>
                        <wps:cNvCnPr/>
                        <wps:spPr>
                          <a:xfrm>
                            <a:off x="3081020" y="158115"/>
                            <a:ext cx="2620645" cy="3175"/>
                          </a:xfrm>
                          <a:prstGeom prst="line">
                            <a:avLst/>
                          </a:prstGeom>
                          <a:ln w="21599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>
                            <a:outerShdw algn="ctr" rotWithShape="0">
                              <a:srgbClr val="C0C0C0"/>
                            </a:outerShdw>
                          </a:effectLst>
                        </wps:spPr>
                        <wps:bodyPr upright="1"/>
                      </wps:wsp>
                      <wps:wsp>
                        <wps:cNvPr id="3" name="文本框 3"/>
                        <wps:cNvSpPr txBox="1"/>
                        <wps:spPr>
                          <a:xfrm>
                            <a:off x="2631440" y="-21590"/>
                            <a:ext cx="460375" cy="359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outerShdw algn="ctr" rotWithShape="0">
                              <a:srgbClr val="C0C0C0"/>
                            </a:outerShdw>
                          </a:effectLst>
                        </wps:spPr>
                        <wps:txbx>
                          <w:txbxContent>
                            <w:p>
                              <w:pPr>
                                <w:jc w:val="center"/>
                                <w:textAlignment w:val="center"/>
                              </w:pPr>
                              <w:r>
                                <w:rPr>
                                  <w:color w:val="FF0000"/>
                                  <w:sz w:val="42"/>
                                  <w:u w:val="none" w:color="FF0000"/>
                                </w:rPr>
                                <w:t>★</w:t>
                              </w:r>
                            </w:p>
                          </w:txbxContent>
                        </wps:txbx>
                        <wps:bodyPr lIns="0" tIns="0" rIns="0" bIns="0" anchor="ctr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79.35pt;margin-top:206.45pt;height:24.9pt;width:449.85pt;mso-position-horizontal-relative:page;mso-position-vertical-relative:page;z-index:251659264;mso-width-relative:page;mso-height-relative:page;" coordsize="5713095,316230" o:gfxdata="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">
                <o:lock v:ext="edit" aspectratio="f"/>
                <v:line id="_x0000_s1026" o:spid="_x0000_s1026" o:spt="20" style="position:absolute;left:10795;top:161925;height:3175;width:2620645;" filled="f" stroked="t" coordsize="21600,21600" o:gfxdata="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GrHGetwAAANoAAAAP&#10;AAAAAAAAAAEAIAAAACIAAABkcnMvZG93bnJldi54bWxQSwECFAAUAAAACACHTuJAMy8FnjsAAAA5&#10;AAAAEAAAAAAAAAABACAAAAAGAQAAZHJzL3NoYXBleG1sLnhtbFBLBQYAAAAABgAGAFsBAACwAwAA&#10;AAA=&#10;">
                  <v:fill on="f" focussize="0,0"/>
                  <v:stroke weight="1.70070866141732pt" color="#FF0000" joinstyle="round"/>
                  <v:imagedata o:title=""/>
                  <o:lock v:ext="edit" aspectratio="f"/>
                  <v:shadow on="t" color="#C0C0C0" offset="0pt,0pt" origin="0f,0f" matrix="65536f,0f,0f,65536f"/>
                </v:line>
                <v:line id="_x0000_s1026" o:spid="_x0000_s1026" o:spt="20" style="position:absolute;left:3081020;top:158115;height:3175;width:2620645;" filled="f" stroked="t" coordsize="21600,21600" o:gfxdata="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Z+7+m5AAAA2gAA&#10;AA8AAAAAAAAAAQAgAAAAIgAAAGRycy9kb3ducmV2LnhtbFBLAQIUABQAAAAIAIdO4kAzLwWeOwAA&#10;ADkAAAAQAAAAAAAAAAEAIAAAAAgBAABkcnMvc2hhcGV4bWwueG1sUEsFBgAAAAAGAAYAWwEAALID&#10;AAAAAA==&#10;">
                  <v:fill on="f" focussize="0,0"/>
                  <v:stroke weight="1.70070866141732pt" color="#FF0000" joinstyle="round"/>
                  <v:imagedata o:title=""/>
                  <o:lock v:ext="edit" aspectratio="f"/>
                  <v:shadow on="t" color="#C0C0C0" offset="0pt,0pt" origin="0f,0f" matrix="65536f,0f,0f,65536f"/>
                </v:line>
                <v:shape id="_x0000_s1026" o:spid="_x0000_s1026" o:spt="202" type="#_x0000_t202" style="position:absolute;left:2631440;top:-21590;height:359410;width:460375;v-text-anchor:middle;" filled="f" stroked="f" coordsize="21600,21600" o:gfxdata="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2HZ6u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shadow on="t" color="#C0C0C0" offset="0pt,0pt" origin="0f,0f" matrix="65536f,0f,0f,65536f"/>
                  <v:textbox inset="0mm,0mm,0mm,0mm">
                    <w:txbxContent>
                      <w:p>
                        <w:pPr>
                          <w:jc w:val="center"/>
                          <w:textAlignment w:val="center"/>
                        </w:pPr>
                        <w:r>
                          <w:rPr>
                            <w:color w:val="FF0000"/>
                            <w:sz w:val="42"/>
                            <w:u w:val="none" w:color="FF0000"/>
                          </w:rPr>
                          <w:t>★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仿宋_GB2312" w:eastAsia="仿宋_GB2312"/>
          <w:sz w:val="32"/>
          <w:szCs w:val="32"/>
        </w:rPr>
        <w:t>清教</w:t>
      </w:r>
      <w:r>
        <w:rPr>
          <w:rFonts w:hint="eastAsia" w:ascii="仿宋_GB2312" w:eastAsia="仿宋_GB2312"/>
          <w:sz w:val="32"/>
          <w:szCs w:val="32"/>
          <w:lang w:eastAsia="zh-CN"/>
        </w:rPr>
        <w:t>建议字</w:t>
      </w:r>
      <w:r>
        <w:rPr>
          <w:rFonts w:hint="eastAsia" w:ascii="仿宋_GB2312" w:eastAsia="仿宋_GB2312"/>
          <w:sz w:val="32"/>
          <w:szCs w:val="32"/>
        </w:rPr>
        <w:t>〔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2021</w:t>
      </w:r>
      <w:r>
        <w:rPr>
          <w:rFonts w:hint="eastAsia" w:ascii="仿宋_GB2312" w:eastAsia="仿宋_GB2312"/>
          <w:sz w:val="32"/>
          <w:szCs w:val="32"/>
        </w:rPr>
        <w:t>〕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14</w:t>
      </w:r>
      <w:r>
        <w:rPr>
          <w:rFonts w:hint="eastAsia" w:ascii="仿宋_GB2312" w:eastAsia="仿宋_GB2312"/>
          <w:sz w:val="32"/>
          <w:szCs w:val="32"/>
        </w:rPr>
        <w:t>号</w:t>
      </w:r>
    </w:p>
    <w:p>
      <w:pPr>
        <w:jc w:val="both"/>
        <w:rPr>
          <w:rFonts w:hint="eastAsia"/>
          <w:sz w:val="44"/>
        </w:rPr>
      </w:pPr>
    </w:p>
    <w:p>
      <w:pPr>
        <w:spacing w:line="640" w:lineRule="exact"/>
        <w:jc w:val="distribute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pacing w:val="-20"/>
          <w:sz w:val="44"/>
          <w:szCs w:val="44"/>
        </w:rPr>
        <w:t>对人大清河县十</w:t>
      </w:r>
      <w:r>
        <w:rPr>
          <w:rFonts w:hint="eastAsia" w:ascii="方正小标宋简体" w:eastAsia="方正小标宋简体"/>
          <w:spacing w:val="-20"/>
          <w:sz w:val="44"/>
          <w:szCs w:val="44"/>
          <w:lang w:eastAsia="zh-CN"/>
        </w:rPr>
        <w:t>七</w:t>
      </w:r>
      <w:r>
        <w:rPr>
          <w:rFonts w:hint="eastAsia" w:ascii="方正小标宋简体" w:eastAsia="方正小标宋简体"/>
          <w:spacing w:val="-20"/>
          <w:sz w:val="44"/>
          <w:szCs w:val="44"/>
        </w:rPr>
        <w:t>届人民代表大会第</w:t>
      </w:r>
      <w:r>
        <w:rPr>
          <w:rFonts w:hint="eastAsia" w:ascii="方正小标宋简体" w:eastAsia="方正小标宋简体"/>
          <w:spacing w:val="-20"/>
          <w:sz w:val="44"/>
          <w:szCs w:val="44"/>
          <w:lang w:eastAsia="zh-CN"/>
        </w:rPr>
        <w:t>一</w:t>
      </w:r>
      <w:r>
        <w:rPr>
          <w:rFonts w:hint="eastAsia" w:ascii="方正小标宋简体" w:eastAsia="方正小标宋简体"/>
          <w:spacing w:val="-20"/>
          <w:sz w:val="44"/>
          <w:szCs w:val="44"/>
        </w:rPr>
        <w:t>次会议</w:t>
      </w:r>
    </w:p>
    <w:p>
      <w:pPr>
        <w:spacing w:line="360" w:lineRule="auto"/>
        <w:jc w:val="center"/>
        <w:rPr>
          <w:rFonts w:hint="eastAsia" w:ascii="方正小标宋简体" w:eastAsia="方正小标宋简体"/>
          <w:sz w:val="32"/>
          <w:szCs w:val="32"/>
          <w:lang w:eastAsia="zh-CN"/>
        </w:rPr>
      </w:pPr>
      <w:r>
        <w:rPr>
          <w:rFonts w:hint="eastAsia" w:ascii="方正小标宋简体" w:eastAsia="方正小标宋简体"/>
          <w:sz w:val="44"/>
          <w:szCs w:val="44"/>
        </w:rPr>
        <w:t>第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54</w:t>
      </w:r>
      <w:r>
        <w:rPr>
          <w:rFonts w:hint="eastAsia" w:ascii="方正小标宋简体" w:eastAsia="方正小标宋简体"/>
          <w:sz w:val="44"/>
          <w:szCs w:val="44"/>
        </w:rPr>
        <w:t>号建议的答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复</w:t>
      </w:r>
    </w:p>
    <w:p>
      <w:pPr>
        <w:spacing w:line="360" w:lineRule="auto"/>
        <w:jc w:val="center"/>
        <w:rPr>
          <w:rFonts w:hint="eastAsia" w:ascii="方正小标宋简体" w:eastAsia="方正小标宋简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张杰</w:t>
      </w:r>
      <w:r>
        <w:rPr>
          <w:rFonts w:hint="eastAsia" w:ascii="仿宋" w:hAnsi="仿宋" w:eastAsia="仿宋"/>
          <w:sz w:val="32"/>
          <w:szCs w:val="32"/>
        </w:rPr>
        <w:t>代表：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你在</w:t>
      </w:r>
      <w:r>
        <w:rPr>
          <w:rFonts w:hint="eastAsia" w:ascii="仿宋_GB2312" w:hAnsi="仿宋_GB2312" w:eastAsia="仿宋_GB2312" w:cs="仿宋_GB2312"/>
          <w:sz w:val="32"/>
          <w:szCs w:val="32"/>
        </w:rPr>
        <w:t>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十七届</w:t>
      </w:r>
      <w:r>
        <w:rPr>
          <w:rFonts w:hint="eastAsia" w:ascii="仿宋_GB2312" w:hAnsi="仿宋_GB2312" w:eastAsia="仿宋_GB2312" w:cs="仿宋_GB2312"/>
          <w:sz w:val="32"/>
          <w:szCs w:val="32"/>
        </w:rPr>
        <w:t>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民代表大会第一次会议</w:t>
      </w:r>
      <w:r>
        <w:rPr>
          <w:rFonts w:hint="eastAsia" w:ascii="仿宋_GB2312" w:hAnsi="仿宋_GB2312" w:eastAsia="仿宋_GB2312" w:cs="仿宋_GB2312"/>
          <w:sz w:val="32"/>
          <w:szCs w:val="32"/>
        </w:rPr>
        <w:t>所提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“关于改善乡村教育</w:t>
      </w:r>
      <w:r>
        <w:rPr>
          <w:rFonts w:hint="eastAsia" w:ascii="仿宋" w:hAnsi="仿宋" w:eastAsia="仿宋"/>
          <w:sz w:val="32"/>
          <w:szCs w:val="32"/>
          <w:lang w:eastAsia="zh-CN"/>
        </w:rPr>
        <w:t>的建议”</w:t>
      </w:r>
      <w:r>
        <w:rPr>
          <w:rFonts w:hint="eastAsia" w:ascii="仿宋" w:hAnsi="仿宋" w:eastAsia="仿宋"/>
          <w:sz w:val="32"/>
          <w:szCs w:val="32"/>
        </w:rPr>
        <w:t>已收悉，现答复如下：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首先，衷心感谢你对我县教育事业发展的高度重视与关注。你所提出的问题和建议，将对我县教育的发展起到积极的促进作用。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为进一步提高乡村</w:t>
      </w:r>
      <w:r>
        <w:rPr>
          <w:rFonts w:hint="eastAsia" w:ascii="仿宋" w:hAnsi="仿宋" w:eastAsia="仿宋"/>
          <w:sz w:val="32"/>
          <w:szCs w:val="32"/>
        </w:rPr>
        <w:t>教育</w:t>
      </w:r>
      <w:r>
        <w:rPr>
          <w:rFonts w:hint="eastAsia" w:ascii="仿宋" w:hAnsi="仿宋" w:eastAsia="仿宋"/>
          <w:sz w:val="32"/>
          <w:szCs w:val="32"/>
          <w:lang w:eastAsia="zh-CN"/>
        </w:rPr>
        <w:t>质量，促进教育均衡发展，教育</w:t>
      </w:r>
      <w:r>
        <w:rPr>
          <w:rFonts w:hint="eastAsia" w:ascii="仿宋" w:hAnsi="仿宋" w:eastAsia="仿宋"/>
          <w:sz w:val="32"/>
          <w:szCs w:val="32"/>
        </w:rPr>
        <w:t>局积极采取以下措施。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一、加大教师招聘力度，充实教师队伍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在县委县政府支持下近年来加大教师招聘的力度。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近五年</w:t>
      </w:r>
      <w:r>
        <w:rPr>
          <w:rFonts w:hint="eastAsia" w:ascii="仿宋_GB2312" w:hAnsi="仿宋_GB2312" w:eastAsia="仿宋_GB2312" w:cs="仿宋_GB2312"/>
          <w:sz w:val="32"/>
          <w:szCs w:val="32"/>
        </w:rPr>
        <w:t>以来我县共招聘教师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530</w:t>
      </w:r>
      <w:r>
        <w:rPr>
          <w:rFonts w:hint="eastAsia" w:ascii="仿宋_GB2312" w:hAnsi="仿宋_GB2312" w:eastAsia="仿宋_GB2312" w:cs="仿宋_GB2312"/>
          <w:sz w:val="32"/>
          <w:szCs w:val="32"/>
        </w:rPr>
        <w:t>名，其中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392</w:t>
      </w:r>
      <w:r>
        <w:rPr>
          <w:rFonts w:hint="eastAsia" w:ascii="仿宋_GB2312" w:hAnsi="仿宋_GB2312" w:eastAsia="仿宋_GB2312" w:cs="仿宋_GB2312"/>
          <w:sz w:val="32"/>
          <w:szCs w:val="32"/>
        </w:rPr>
        <w:t>名充实到农村学校。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另外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抓住省政府实施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农村小学全科教师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公费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培养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政策的有利时机，2018年开始，每年积极争取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农村小学全科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公费师范生培养计划，为我县补充优秀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农村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教师奠定基础。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每年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新招录教师，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会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优先满足农村中小学的需求，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为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农村教师队伍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不断注入新的血液，在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学历结构、年龄结构、学科结构更趋合理。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二、加大“县管校聘”管理改革力度，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有序推进教师校长交流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省、市文件精神，我县教育、人社、财政、编制、组织</w:t>
      </w:r>
      <w:r>
        <w:rPr>
          <w:rFonts w:hint="eastAsia" w:ascii="仿宋_GB2312" w:hAnsi="仿宋_GB2312" w:eastAsia="仿宋_GB2312" w:cs="仿宋_GB2312"/>
          <w:sz w:val="32"/>
          <w:szCs w:val="32"/>
        </w:rPr>
        <w:t>五部门制定了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清河县义务教育学校教师校长交流工作实施方案（试行）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清教联[2015]1号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同时，清河县教育局印发了《清河县教育局支教教师管理办法》                                              通过多种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交流方式：</w:t>
      </w:r>
      <w:r>
        <w:rPr>
          <w:rFonts w:hint="eastAsia" w:ascii="仿宋_GB2312" w:hAnsi="仿宋_GB2312" w:eastAsia="仿宋_GB2312" w:cs="仿宋_GB2312"/>
          <w:sz w:val="32"/>
          <w:szCs w:val="32"/>
        </w:rPr>
        <w:t>城区学校和农村学校间的教师交流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农村学校教师向城区学校的交流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学校</w:t>
      </w:r>
      <w:r>
        <w:rPr>
          <w:rFonts w:hint="eastAsia" w:ascii="仿宋_GB2312" w:hAnsi="仿宋_GB2312" w:eastAsia="仿宋_GB2312" w:cs="仿宋_GB2312"/>
          <w:sz w:val="32"/>
          <w:szCs w:val="32"/>
        </w:rPr>
        <w:t>之间教师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及学校教学点内教师</w:t>
      </w:r>
      <w:r>
        <w:rPr>
          <w:rFonts w:hint="eastAsia" w:ascii="仿宋_GB2312" w:hAnsi="仿宋_GB2312" w:eastAsia="仿宋_GB2312" w:cs="仿宋_GB2312"/>
          <w:sz w:val="32"/>
          <w:szCs w:val="32"/>
        </w:rPr>
        <w:t>的交流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，引导</w:t>
      </w:r>
      <w:r>
        <w:rPr>
          <w:rFonts w:hint="eastAsia" w:ascii="仿宋_GB2312" w:hAnsi="仿宋_GB2312" w:eastAsia="仿宋_GB2312" w:cs="仿宋_GB2312"/>
          <w:sz w:val="32"/>
          <w:szCs w:val="32"/>
        </w:rPr>
        <w:t>教师由超编学校向缺编学校、由强校向薄弱学校合理流动。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进一步推行“县管校聘”管理体制改革，加大教师交流力度，全面盘活义务教育教师资源配置，激发教师活力。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Cs/>
          <w:sz w:val="32"/>
          <w:szCs w:val="32"/>
          <w:lang w:eastAsia="zh-CN"/>
        </w:rPr>
        <w:t>三</w:t>
      </w:r>
      <w:r>
        <w:rPr>
          <w:rFonts w:hint="eastAsia" w:ascii="黑体" w:hAnsi="黑体" w:eastAsia="黑体" w:cs="黑体"/>
          <w:bCs/>
          <w:sz w:val="32"/>
          <w:szCs w:val="32"/>
        </w:rPr>
        <w:t>、</w:t>
      </w:r>
      <w:r>
        <w:rPr>
          <w:rFonts w:hint="eastAsia" w:ascii="黑体" w:hAnsi="黑体" w:eastAsia="黑体" w:cs="黑体"/>
          <w:bCs/>
          <w:sz w:val="32"/>
          <w:szCs w:val="32"/>
          <w:lang w:eastAsia="zh-CN"/>
        </w:rPr>
        <w:t>不断完善乡村学校奖励机制，激发教师积极性。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sz w:val="32"/>
          <w:szCs w:val="32"/>
        </w:rPr>
        <w:t>根据上级文件精神，在职称评审时适当降低乡村教师职称申报评审条件，特别是村小学、教学点的教师。对在乡村学校任教累计满25年且仍在乡村学校任教的教师，师德师风和教学能力经公示无异议符合评审条件的，可不受专业技术岗位限制申报中级职称。另外在农村任教满15年的乡村教师在职称量化打分上予以倾斜。县城及县城周边教师晋升中高级教师职称时，必须有在边远乡村学校任教一年的经历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同时评优评先时，在分配指标和条件上对乡村一线教师予以适当倾斜。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sz w:val="32"/>
          <w:szCs w:val="32"/>
        </w:rPr>
        <w:t>实施乡镇工作补贴制度。严格按照《河北省人力资源和社会保障厅河北省财政厅关于印发&lt;河北省乡镇机关事业单位工作人员实行乡镇工作补贴实施办法&gt;的通知》规定，为符合条件的乡村教师发放乡镇工作补贴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sz w:val="32"/>
          <w:szCs w:val="32"/>
        </w:rPr>
        <w:t>在奖励绩效工资中设置农村教师补贴。按照乡村学校的地理位置分为三类学校：一类学校每年每人补助1200元，二类学校每年每人补助600元，三类学校每人每年补助200元。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四</w:t>
      </w:r>
      <w:r>
        <w:rPr>
          <w:rFonts w:hint="eastAsia" w:ascii="黑体" w:hAnsi="黑体" w:eastAsia="黑体" w:cs="黑体"/>
          <w:sz w:val="32"/>
          <w:szCs w:val="32"/>
        </w:rPr>
        <w:t>、加大乡村教师培训力度，不断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提升业务素质。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开展多种形式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的业务培训</w:t>
      </w:r>
      <w:r>
        <w:rPr>
          <w:rFonts w:hint="eastAsia" w:ascii="仿宋_GB2312" w:hAnsi="仿宋_GB2312" w:eastAsia="仿宋_GB2312" w:cs="仿宋_GB2312"/>
          <w:sz w:val="32"/>
          <w:szCs w:val="32"/>
        </w:rPr>
        <w:t>，多次组织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乡村</w:t>
      </w:r>
      <w:r>
        <w:rPr>
          <w:rFonts w:hint="eastAsia" w:ascii="仿宋_GB2312" w:hAnsi="仿宋_GB2312" w:eastAsia="仿宋_GB2312" w:cs="仿宋_GB2312"/>
          <w:sz w:val="32"/>
          <w:szCs w:val="32"/>
        </w:rPr>
        <w:t>教师外出进行集中培训以及参加上级组织的国培和省培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，同时各学校之间多次开展联片教研活动</w:t>
      </w:r>
      <w:r>
        <w:rPr>
          <w:rFonts w:hint="eastAsia" w:ascii="仿宋_GB2312" w:hAnsi="仿宋_GB2312" w:eastAsia="仿宋_GB2312" w:cs="仿宋_GB2312"/>
          <w:sz w:val="32"/>
          <w:szCs w:val="32"/>
        </w:rPr>
        <w:t>。从多方面提高教师教育教学能力。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您</w:t>
      </w:r>
      <w:r>
        <w:rPr>
          <w:rFonts w:hint="eastAsia" w:ascii="仿宋_GB2312" w:hAnsi="仿宋_GB2312" w:eastAsia="仿宋_GB2312" w:cs="仿宋_GB2312"/>
          <w:sz w:val="32"/>
          <w:szCs w:val="32"/>
        </w:rPr>
        <w:t>对我们的办理和答复有何意见和建议，请直接或通过人大反馈给我们，以便我们进一步改进工作。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感谢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对我县教育工作的关心和支持。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firstLine="6080" w:firstLineChars="19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清河县教育局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firstLine="5440" w:firstLineChars="17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  20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29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领导签发：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联系人及电话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：刘书芳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0319-5530619</w:t>
      </w:r>
    </w:p>
    <w:p/>
    <w:sectPr>
      <w:headerReference r:id="rId3" w:type="default"/>
      <w:footerReference r:id="rId4" w:type="default"/>
      <w:pgSz w:w="11906" w:h="16838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经典粗宋简">
    <w:altName w:val="宋体"/>
    <w:panose1 w:val="02010609000101010101"/>
    <w:charset w:val="86"/>
    <w:family w:val="auto"/>
    <w:pitch w:val="default"/>
    <w:sig w:usb0="00000000" w:usb1="00000000" w:usb2="0000001E" w:usb3="00000000" w:csb0="2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7QmRUUAgAAEwQAAA4AAABkcnMvZTJvRG9jLnhtbK1TTY7TMBTeI3EH&#10;y3uatKi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9fT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XtCZFR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350614"/>
    <w:rsid w:val="00AC7357"/>
    <w:rsid w:val="0C164181"/>
    <w:rsid w:val="13B876CD"/>
    <w:rsid w:val="54350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Times New Roman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样式 样式 仿宋 三号 左 行距: 1.5 倍行距 + 首行缩进:  0 字符"/>
    <w:basedOn w:val="1"/>
    <w:qFormat/>
    <w:uiPriority w:val="0"/>
    <w:pPr>
      <w:spacing w:line="360" w:lineRule="auto"/>
      <w:ind w:firstLine="200" w:firstLineChars="200"/>
      <w:jc w:val="left"/>
    </w:pPr>
    <w:rPr>
      <w:rFonts w:ascii="仿宋" w:hAnsi="仿宋" w:eastAsia="仿宋" w:cs="宋体"/>
      <w:sz w:val="32"/>
      <w:szCs w:val="20"/>
    </w:rPr>
  </w:style>
  <w:style w:type="paragraph" w:customStyle="1" w:styleId="7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2021-12-07T10:07:00Z</dcterms:created>
  <dc:creator>Administrator</dc:creator>
  <cp:lastModifiedBy>Administrator</cp:lastModifiedBy>
  <cp:lastPrinted>2021-12-08T10:54:43Z</cp:lastPrinted>
  <dcterms:modified xsi:type="dcterms:W3CDTF">2021-12-08T10:54:48Z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71A834DB5EFB48CBA4AE1D293F3B3BF9</vt:lpwstr>
  </property>
</Properties>
</file>