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exact"/>
        <w:jc w:val="left"/>
        <w:rPr>
          <w:rFonts w:ascii="仿宋" w:hAnsi="仿宋" w:eastAsia="仿宋" w:cs="仿宋"/>
          <w:kern w:val="0"/>
          <w:sz w:val="32"/>
          <w:szCs w:val="32"/>
          <w:shd w:val="clear" w:color="auto" w:fill="FFFFFF"/>
        </w:rPr>
      </w:pPr>
      <w:r>
        <w:rPr>
          <w:rFonts w:hint="eastAsia" w:ascii="仿宋" w:hAnsi="仿宋" w:eastAsia="仿宋" w:cs="仿宋"/>
          <w:kern w:val="0"/>
          <w:sz w:val="32"/>
          <w:szCs w:val="32"/>
          <w:shd w:val="clear" w:color="auto" w:fill="FFFFFF"/>
        </w:rPr>
        <w:t>附件：</w:t>
      </w:r>
    </w:p>
    <w:p>
      <w:pPr>
        <w:widowControl/>
        <w:spacing w:line="480" w:lineRule="exact"/>
        <w:jc w:val="left"/>
        <w:rPr>
          <w:rFonts w:ascii="宋体" w:hAnsi="宋体" w:eastAsia="宋体" w:cs="宋体"/>
          <w:b/>
          <w:color w:val="000000"/>
          <w:kern w:val="0"/>
          <w:sz w:val="44"/>
          <w:szCs w:val="44"/>
          <w:shd w:val="clear" w:color="auto" w:fill="FFFFFF"/>
        </w:rPr>
      </w:pPr>
    </w:p>
    <w:p>
      <w:pPr>
        <w:spacing w:line="480" w:lineRule="exact"/>
        <w:jc w:val="center"/>
        <w:rPr>
          <w:rFonts w:ascii="仿宋" w:hAnsi="仿宋" w:eastAsia="仿宋" w:cs="仿宋"/>
          <w:sz w:val="32"/>
          <w:szCs w:val="32"/>
        </w:rPr>
      </w:pPr>
      <w:r>
        <w:rPr>
          <w:rFonts w:hint="eastAsia" w:ascii="宋体" w:hAnsi="宋体"/>
          <w:b/>
          <w:sz w:val="44"/>
          <w:szCs w:val="44"/>
        </w:rPr>
        <w:t>部门整体支出绩效评价</w:t>
      </w:r>
      <w:r>
        <w:rPr>
          <w:rFonts w:hint="eastAsia" w:ascii="宋体" w:hAnsi="宋体" w:eastAsia="宋体" w:cs="宋体"/>
          <w:b/>
          <w:color w:val="000000"/>
          <w:kern w:val="0"/>
          <w:sz w:val="44"/>
          <w:szCs w:val="44"/>
          <w:shd w:val="clear" w:color="auto" w:fill="FFFFFF"/>
        </w:rPr>
        <w:t>指标体系评分表</w:t>
      </w:r>
    </w:p>
    <w:tbl>
      <w:tblPr>
        <w:tblStyle w:val="11"/>
        <w:tblW w:w="937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9"/>
        <w:gridCol w:w="743"/>
        <w:gridCol w:w="1275"/>
        <w:gridCol w:w="3436"/>
        <w:gridCol w:w="2373"/>
        <w:gridCol w:w="7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9"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rPr>
            </w:pPr>
            <w:r>
              <w:rPr>
                <w:rFonts w:ascii="仿宋_GB2312" w:hAnsi="新宋体" w:eastAsia="仿宋_GB2312" w:cs="仿宋_GB2312"/>
                <w:b/>
                <w:kern w:val="0"/>
                <w:sz w:val="24"/>
                <w:szCs w:val="24"/>
              </w:rPr>
              <w:t>一级指标</w:t>
            </w:r>
          </w:p>
        </w:tc>
        <w:tc>
          <w:tcPr>
            <w:tcW w:w="74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rPr>
            </w:pPr>
            <w:r>
              <w:rPr>
                <w:rFonts w:ascii="仿宋_GB2312" w:hAnsi="新宋体" w:eastAsia="仿宋_GB2312" w:cs="仿宋_GB2312"/>
                <w:b/>
                <w:kern w:val="0"/>
                <w:sz w:val="24"/>
                <w:szCs w:val="24"/>
              </w:rPr>
              <w:t>二级指标</w:t>
            </w:r>
          </w:p>
        </w:tc>
        <w:tc>
          <w:tcPr>
            <w:tcW w:w="4711" w:type="dxa"/>
            <w:gridSpan w:val="2"/>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center"/>
              <w:rPr>
                <w:b/>
              </w:rPr>
            </w:pPr>
            <w:r>
              <w:rPr>
                <w:rFonts w:ascii="仿宋_GB2312" w:hAnsi="新宋体" w:eastAsia="仿宋_GB2312" w:cs="仿宋_GB2312"/>
                <w:b/>
                <w:kern w:val="0"/>
                <w:sz w:val="24"/>
                <w:szCs w:val="24"/>
              </w:rPr>
              <w:t>三级指标</w:t>
            </w:r>
          </w:p>
        </w:tc>
        <w:tc>
          <w:tcPr>
            <w:tcW w:w="2373" w:type="dxa"/>
            <w:vMerge w:val="restart"/>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center"/>
              <w:rPr>
                <w:b/>
              </w:rPr>
            </w:pPr>
            <w:r>
              <w:rPr>
                <w:rFonts w:ascii="仿宋_GB2312" w:hAnsi="新宋体" w:eastAsia="仿宋_GB2312" w:cs="仿宋_GB2312"/>
                <w:b/>
                <w:kern w:val="0"/>
                <w:sz w:val="24"/>
                <w:szCs w:val="24"/>
              </w:rPr>
              <w:t>评分标准</w:t>
            </w:r>
          </w:p>
        </w:tc>
        <w:tc>
          <w:tcPr>
            <w:tcW w:w="764" w:type="dxa"/>
            <w:vMerge w:val="restart"/>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b/>
              </w:rPr>
            </w:pPr>
            <w:r>
              <w:rPr>
                <w:rFonts w:ascii="仿宋_GB2312" w:hAnsi="新宋体" w:eastAsia="仿宋_GB2312" w:cs="仿宋_GB2312"/>
                <w:b/>
                <w:kern w:val="0"/>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4"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center"/>
              <w:rPr>
                <w:b/>
              </w:rPr>
            </w:pPr>
            <w:r>
              <w:rPr>
                <w:rFonts w:ascii="仿宋_GB2312" w:hAnsi="新宋体" w:eastAsia="仿宋_GB2312" w:cs="仿宋_GB2312"/>
                <w:b/>
                <w:kern w:val="0"/>
                <w:sz w:val="24"/>
                <w:szCs w:val="24"/>
              </w:rPr>
              <w:t>指标名称</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center"/>
              <w:rPr>
                <w:b/>
              </w:rPr>
            </w:pPr>
            <w:r>
              <w:rPr>
                <w:rFonts w:ascii="仿宋_GB2312" w:hAnsi="新宋体" w:eastAsia="仿宋_GB2312" w:cs="仿宋_GB2312"/>
                <w:b/>
                <w:kern w:val="0"/>
                <w:sz w:val="24"/>
                <w:szCs w:val="24"/>
              </w:rPr>
              <w:t>指标解释说明</w:t>
            </w:r>
          </w:p>
        </w:tc>
        <w:tc>
          <w:tcPr>
            <w:tcW w:w="2373" w:type="dxa"/>
            <w:vMerge w:val="continue"/>
            <w:tcBorders>
              <w:top w:val="single" w:color="000000" w:sz="4" w:space="0"/>
              <w:left w:val="single" w:color="auto" w:sz="4" w:space="0"/>
              <w:bottom w:val="single" w:color="000000" w:sz="4" w:space="0"/>
              <w:right w:val="single" w:color="auto" w:sz="4" w:space="0"/>
            </w:tcBorders>
            <w:vAlign w:val="center"/>
          </w:tcPr>
          <w:p>
            <w:pPr>
              <w:rPr>
                <w:rFonts w:ascii="宋体"/>
                <w:szCs w:val="21"/>
              </w:rPr>
            </w:pPr>
          </w:p>
        </w:tc>
        <w:tc>
          <w:tcPr>
            <w:tcW w:w="764" w:type="dxa"/>
            <w:vMerge w:val="continue"/>
            <w:tcBorders>
              <w:top w:val="single" w:color="000000" w:sz="4" w:space="0"/>
              <w:left w:val="single" w:color="auto" w:sz="4" w:space="0"/>
              <w:bottom w:val="single" w:color="000000" w:sz="4" w:space="0"/>
              <w:right w:val="single" w:color="auto" w:sz="4" w:space="0"/>
            </w:tcBorders>
            <w:vAlign w:val="center"/>
          </w:tcPr>
          <w:p>
            <w:pP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8"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rPr>
              <w:t>投入（1</w:t>
            </w:r>
            <w:r>
              <w:rPr>
                <w:rFonts w:hint="eastAsia" w:ascii="仿宋_GB2312" w:hAnsi="新宋体" w:eastAsia="仿宋_GB2312" w:cs="仿宋_GB2312"/>
                <w:kern w:val="0"/>
                <w:szCs w:val="21"/>
              </w:rPr>
              <w:t>0</w:t>
            </w:r>
            <w:r>
              <w:rPr>
                <w:rFonts w:ascii="仿宋_GB2312" w:hAnsi="新宋体" w:eastAsia="仿宋_GB2312" w:cs="仿宋_GB2312"/>
                <w:kern w:val="0"/>
                <w:szCs w:val="21"/>
              </w:rPr>
              <w:t>）</w:t>
            </w:r>
          </w:p>
        </w:tc>
        <w:tc>
          <w:tcPr>
            <w:tcW w:w="74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hint="eastAsia" w:ascii="仿宋_GB2312" w:hAnsi="新宋体" w:eastAsia="仿宋_GB2312" w:cs="仿宋_GB2312"/>
                <w:kern w:val="0"/>
                <w:szCs w:val="21"/>
              </w:rPr>
              <w:t>绩效</w:t>
            </w:r>
            <w:r>
              <w:rPr>
                <w:rFonts w:ascii="仿宋_GB2312" w:hAnsi="新宋体" w:eastAsia="仿宋_GB2312" w:cs="仿宋_GB2312"/>
                <w:kern w:val="0"/>
                <w:szCs w:val="21"/>
              </w:rPr>
              <w:t>目标设定</w:t>
            </w:r>
            <w:r>
              <w:rPr>
                <w:rFonts w:hint="eastAsia" w:ascii="仿宋_GB2312" w:hAnsi="新宋体" w:eastAsia="仿宋_GB2312" w:cs="仿宋_GB2312"/>
                <w:kern w:val="0"/>
                <w:szCs w:val="21"/>
              </w:rPr>
              <w:t>情况</w:t>
            </w:r>
          </w:p>
          <w:p>
            <w:pPr>
              <w:widowControl/>
              <w:spacing w:line="240" w:lineRule="exact"/>
              <w:jc w:val="left"/>
              <w:rPr>
                <w:color w:val="FF0000"/>
                <w:szCs w:val="21"/>
              </w:rPr>
            </w:pPr>
            <w:r>
              <w:rPr>
                <w:rFonts w:ascii="仿宋_GB2312" w:hAnsi="新宋体" w:eastAsia="仿宋_GB2312" w:cs="仿宋_GB2312"/>
                <w:kern w:val="0"/>
                <w:szCs w:val="21"/>
              </w:rPr>
              <w:t>（5</w:t>
            </w:r>
            <w:r>
              <w:rPr>
                <w:rFonts w:hint="eastAsia" w:ascii="仿宋_GB2312" w:hAnsi="新宋体" w:eastAsia="仿宋_GB2312" w:cs="仿宋_GB2312"/>
                <w:kern w:val="0"/>
                <w:szCs w:val="21"/>
              </w:rPr>
              <w:t>分</w:t>
            </w:r>
            <w:r>
              <w:rPr>
                <w:rFonts w:ascii="仿宋_GB2312" w:hAnsi="新宋体" w:eastAsia="仿宋_GB2312" w:cs="仿宋_GB2312"/>
                <w:kern w:val="0"/>
                <w:szCs w:val="21"/>
              </w:rPr>
              <w:t>）</w:t>
            </w:r>
          </w:p>
        </w:tc>
        <w:tc>
          <w:tcPr>
            <w:tcW w:w="1275" w:type="dxa"/>
            <w:tcBorders>
              <w:top w:val="single" w:color="000000" w:sz="4" w:space="0"/>
              <w:left w:val="single" w:color="000000"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职责明确（1</w:t>
            </w:r>
            <w:r>
              <w:rPr>
                <w:rFonts w:hint="eastAsia" w:ascii="仿宋_GB2312" w:hAnsi="新宋体" w:eastAsia="仿宋_GB2312" w:cs="仿宋_GB2312"/>
                <w:kern w:val="0"/>
                <w:szCs w:val="21"/>
              </w:rPr>
              <w:t>分</w:t>
            </w:r>
            <w:r>
              <w:rPr>
                <w:rFonts w:ascii="仿宋_GB2312" w:hAnsi="新宋体" w:eastAsia="仿宋_GB2312" w:cs="仿宋_GB2312"/>
                <w:kern w:val="0"/>
                <w:szCs w:val="21"/>
              </w:rPr>
              <w:t>）</w:t>
            </w:r>
          </w:p>
        </w:tc>
        <w:tc>
          <w:tcPr>
            <w:tcW w:w="3436"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部门的职责设定是否符合“三定”方案中所赋予的职责，用以反映和评价部门工作的目的性与计划性。</w:t>
            </w:r>
          </w:p>
        </w:tc>
        <w:tc>
          <w:tcPr>
            <w:tcW w:w="2373"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符合（1）；</w:t>
            </w:r>
          </w:p>
          <w:p>
            <w:pPr>
              <w:widowControl/>
              <w:spacing w:line="240" w:lineRule="exact"/>
              <w:jc w:val="left"/>
              <w:rPr>
                <w:szCs w:val="21"/>
              </w:rPr>
            </w:pPr>
            <w:r>
              <w:rPr>
                <w:rFonts w:ascii="仿宋_GB2312" w:hAnsi="新宋体" w:eastAsia="仿宋_GB2312" w:cs="仿宋_GB2312"/>
                <w:kern w:val="0"/>
                <w:szCs w:val="21"/>
              </w:rPr>
              <w:t>不符合（0）。</w:t>
            </w:r>
          </w:p>
        </w:tc>
        <w:tc>
          <w:tcPr>
            <w:tcW w:w="764" w:type="dxa"/>
            <w:tcBorders>
              <w:top w:val="single" w:color="000000" w:sz="4" w:space="0"/>
              <w:left w:val="single" w:color="auto" w:sz="4" w:space="0"/>
              <w:bottom w:val="single" w:color="auto"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34"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活动合规性（2</w:t>
            </w:r>
            <w:r>
              <w:rPr>
                <w:rFonts w:hint="eastAsia" w:ascii="仿宋_GB2312" w:hAnsi="新宋体" w:eastAsia="仿宋_GB2312" w:cs="仿宋_GB2312"/>
                <w:kern w:val="0"/>
                <w:szCs w:val="21"/>
              </w:rPr>
              <w:t>分</w:t>
            </w:r>
            <w:r>
              <w:rPr>
                <w:rFonts w:ascii="仿宋_GB2312" w:hAnsi="新宋体" w:eastAsia="仿宋_GB2312" w:cs="仿宋_GB2312"/>
                <w:kern w:val="0"/>
                <w:szCs w:val="21"/>
              </w:rPr>
              <w:t>）</w:t>
            </w:r>
          </w:p>
        </w:tc>
        <w:tc>
          <w:tcPr>
            <w:tcW w:w="3436"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部门的活动是否在职责范围之内并符合部门中长期规划，用以反映和评价部门活动目标与部门履职、年度工作任务的相符性情况。</w:t>
            </w:r>
          </w:p>
          <w:p>
            <w:pPr>
              <w:widowControl/>
              <w:spacing w:line="240" w:lineRule="exact"/>
              <w:jc w:val="left"/>
              <w:rPr>
                <w:szCs w:val="21"/>
              </w:rPr>
            </w:pPr>
            <w:r>
              <w:rPr>
                <w:rFonts w:ascii="仿宋_GB2312" w:hAnsi="新宋体" w:eastAsia="仿宋_GB2312" w:cs="仿宋_GB2312"/>
                <w:kern w:val="0"/>
                <w:szCs w:val="21"/>
              </w:rPr>
              <w:t>评价要点：</w:t>
            </w:r>
          </w:p>
          <w:p>
            <w:pPr>
              <w:widowControl/>
              <w:spacing w:line="240" w:lineRule="exact"/>
              <w:jc w:val="left"/>
              <w:rPr>
                <w:szCs w:val="21"/>
              </w:rPr>
            </w:pPr>
            <w:r>
              <w:rPr>
                <w:rFonts w:ascii="仿宋_GB2312" w:hAnsi="新宋体" w:eastAsia="仿宋_GB2312" w:cs="仿宋_GB2312"/>
                <w:kern w:val="0"/>
                <w:szCs w:val="21"/>
              </w:rPr>
              <w:t>1.部门活动的设定在部门所确定的职责范围之内；</w:t>
            </w:r>
          </w:p>
          <w:p>
            <w:pPr>
              <w:widowControl/>
              <w:spacing w:line="240" w:lineRule="exact"/>
              <w:jc w:val="left"/>
              <w:rPr>
                <w:szCs w:val="21"/>
              </w:rPr>
            </w:pPr>
            <w:r>
              <w:rPr>
                <w:rFonts w:ascii="仿宋_GB2312" w:hAnsi="新宋体" w:eastAsia="仿宋_GB2312" w:cs="仿宋_GB2312"/>
                <w:kern w:val="0"/>
                <w:szCs w:val="21"/>
              </w:rPr>
              <w:t>2.部门活动符合</w:t>
            </w:r>
            <w:r>
              <w:rPr>
                <w:rFonts w:hint="eastAsia" w:ascii="仿宋_GB2312" w:hAnsi="新宋体" w:eastAsia="仿宋_GB2312" w:cs="仿宋_GB2312"/>
                <w:kern w:val="0"/>
                <w:szCs w:val="21"/>
              </w:rPr>
              <w:t>县委</w:t>
            </w:r>
            <w:r>
              <w:rPr>
                <w:rFonts w:ascii="仿宋_GB2312" w:hAnsi="新宋体" w:eastAsia="仿宋_GB2312" w:cs="仿宋_GB2312"/>
                <w:kern w:val="0"/>
                <w:szCs w:val="21"/>
              </w:rPr>
              <w:t>、</w:t>
            </w:r>
            <w:r>
              <w:rPr>
                <w:rFonts w:hint="eastAsia" w:ascii="仿宋_GB2312" w:hAnsi="新宋体" w:eastAsia="仿宋_GB2312" w:cs="仿宋_GB2312"/>
                <w:kern w:val="0"/>
                <w:szCs w:val="21"/>
              </w:rPr>
              <w:t>县政府</w:t>
            </w:r>
            <w:r>
              <w:rPr>
                <w:rFonts w:ascii="仿宋_GB2312" w:hAnsi="新宋体" w:eastAsia="仿宋_GB2312" w:cs="仿宋_GB2312"/>
                <w:kern w:val="0"/>
                <w:szCs w:val="21"/>
              </w:rPr>
              <w:t>的发展规划及本部门的年度工作安排与发展规划。</w:t>
            </w:r>
          </w:p>
        </w:tc>
        <w:tc>
          <w:tcPr>
            <w:tcW w:w="2373"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全部符合（2）；</w:t>
            </w:r>
          </w:p>
          <w:p>
            <w:pPr>
              <w:widowControl/>
              <w:spacing w:line="240" w:lineRule="exact"/>
              <w:jc w:val="left"/>
              <w:rPr>
                <w:szCs w:val="21"/>
              </w:rPr>
            </w:pPr>
            <w:r>
              <w:rPr>
                <w:rFonts w:ascii="仿宋_GB2312" w:hAnsi="新宋体" w:eastAsia="仿宋_GB2312" w:cs="仿宋_GB2312"/>
                <w:kern w:val="0"/>
                <w:szCs w:val="21"/>
              </w:rPr>
              <w:t>其中一项不符合（0）。</w:t>
            </w:r>
          </w:p>
        </w:tc>
        <w:tc>
          <w:tcPr>
            <w:tcW w:w="764" w:type="dxa"/>
            <w:tcBorders>
              <w:top w:val="single" w:color="000000" w:sz="4" w:space="0"/>
              <w:left w:val="single" w:color="auto" w:sz="4" w:space="0"/>
              <w:bottom w:val="single" w:color="auto"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活动合理性（2</w:t>
            </w:r>
            <w:r>
              <w:rPr>
                <w:rFonts w:hint="eastAsia" w:ascii="仿宋_GB2312" w:hAnsi="新宋体" w:eastAsia="仿宋_GB2312" w:cs="仿宋_GB2312"/>
                <w:kern w:val="0"/>
                <w:szCs w:val="21"/>
              </w:rPr>
              <w:t>分</w:t>
            </w:r>
            <w:r>
              <w:rPr>
                <w:rFonts w:ascii="仿宋_GB2312" w:hAnsi="新宋体" w:eastAsia="仿宋_GB2312" w:cs="仿宋_GB2312"/>
                <w:kern w:val="0"/>
                <w:szCs w:val="21"/>
              </w:rPr>
              <w:t>）</w:t>
            </w:r>
          </w:p>
        </w:tc>
        <w:tc>
          <w:tcPr>
            <w:tcW w:w="3436"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部门所设立的活动是否明确合理、活动的关键性指标设置是否可衡量，用以反映和评价部门活动目标设定的合理性。</w:t>
            </w:r>
          </w:p>
          <w:p>
            <w:pPr>
              <w:widowControl/>
              <w:spacing w:line="240" w:lineRule="exact"/>
              <w:jc w:val="left"/>
              <w:rPr>
                <w:szCs w:val="21"/>
              </w:rPr>
            </w:pPr>
            <w:r>
              <w:rPr>
                <w:rFonts w:ascii="仿宋_GB2312" w:hAnsi="新宋体" w:eastAsia="仿宋_GB2312" w:cs="仿宋_GB2312"/>
                <w:kern w:val="0"/>
                <w:szCs w:val="21"/>
              </w:rPr>
              <w:t>评价要点：</w:t>
            </w:r>
          </w:p>
          <w:p>
            <w:pPr>
              <w:widowControl/>
              <w:spacing w:line="240" w:lineRule="exact"/>
              <w:jc w:val="left"/>
              <w:rPr>
                <w:szCs w:val="21"/>
              </w:rPr>
            </w:pPr>
            <w:r>
              <w:rPr>
                <w:rFonts w:ascii="仿宋_GB2312" w:hAnsi="新宋体" w:eastAsia="仿宋_GB2312" w:cs="仿宋_GB2312"/>
                <w:kern w:val="0"/>
                <w:szCs w:val="21"/>
              </w:rPr>
              <w:t>1.活动目标的设定是可量化的，可通过清晰、可衡量的关键指标值予以体现；</w:t>
            </w:r>
          </w:p>
          <w:p>
            <w:pPr>
              <w:widowControl/>
              <w:spacing w:line="240" w:lineRule="exact"/>
              <w:jc w:val="left"/>
              <w:rPr>
                <w:szCs w:val="21"/>
              </w:rPr>
            </w:pPr>
            <w:r>
              <w:rPr>
                <w:rFonts w:ascii="仿宋_GB2312" w:hAnsi="新宋体" w:eastAsia="仿宋_GB2312" w:cs="仿宋_GB2312"/>
                <w:kern w:val="0"/>
                <w:szCs w:val="21"/>
              </w:rPr>
              <w:t>2.在活动目标设定时，将关键指标明细分解为具体的达成目标与工作任务。</w:t>
            </w:r>
          </w:p>
        </w:tc>
        <w:tc>
          <w:tcPr>
            <w:tcW w:w="2373"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全部符合（2）；</w:t>
            </w:r>
          </w:p>
          <w:p>
            <w:pPr>
              <w:widowControl/>
              <w:spacing w:line="240" w:lineRule="exact"/>
              <w:jc w:val="left"/>
              <w:rPr>
                <w:szCs w:val="21"/>
              </w:rPr>
            </w:pPr>
            <w:r>
              <w:rPr>
                <w:rFonts w:ascii="仿宋_GB2312" w:hAnsi="新宋体" w:eastAsia="仿宋_GB2312" w:cs="仿宋_GB2312"/>
                <w:kern w:val="0"/>
                <w:szCs w:val="21"/>
              </w:rPr>
              <w:t>其中一项不符合（0）。</w:t>
            </w:r>
          </w:p>
        </w:tc>
        <w:tc>
          <w:tcPr>
            <w:tcW w:w="764" w:type="dxa"/>
            <w:tcBorders>
              <w:top w:val="single" w:color="000000" w:sz="4" w:space="0"/>
              <w:left w:val="single" w:color="auto" w:sz="4" w:space="0"/>
              <w:bottom w:val="single" w:color="auto"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restart"/>
            <w:tcBorders>
              <w:top w:val="single" w:color="000000" w:sz="4" w:space="0"/>
              <w:left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rPr>
              <w:t>预算配置</w:t>
            </w:r>
            <w:r>
              <w:rPr>
                <w:rFonts w:hint="eastAsia" w:ascii="仿宋_GB2312" w:hAnsi="新宋体" w:eastAsia="仿宋_GB2312" w:cs="仿宋_GB2312"/>
                <w:kern w:val="0"/>
                <w:szCs w:val="21"/>
              </w:rPr>
              <w:t>情况</w:t>
            </w:r>
            <w:r>
              <w:rPr>
                <w:rFonts w:ascii="仿宋_GB2312" w:hAnsi="新宋体" w:eastAsia="仿宋_GB2312" w:cs="仿宋_GB2312"/>
                <w:kern w:val="0"/>
                <w:szCs w:val="21"/>
              </w:rPr>
              <w:t>(</w:t>
            </w:r>
            <w:r>
              <w:rPr>
                <w:rFonts w:hint="eastAsia" w:ascii="仿宋_GB2312" w:hAnsi="新宋体" w:eastAsia="仿宋_GB2312" w:cs="仿宋_GB2312"/>
                <w:kern w:val="0"/>
                <w:szCs w:val="21"/>
              </w:rPr>
              <w:t>5分</w:t>
            </w:r>
            <w:r>
              <w:rPr>
                <w:rFonts w:ascii="仿宋_GB2312" w:hAnsi="新宋体" w:eastAsia="仿宋_GB2312" w:cs="仿宋_GB2312"/>
                <w:kern w:val="0"/>
                <w:szCs w:val="21"/>
              </w:rPr>
              <w:t>)</w:t>
            </w:r>
          </w:p>
        </w:tc>
        <w:tc>
          <w:tcPr>
            <w:tcW w:w="1275" w:type="dxa"/>
            <w:tcBorders>
              <w:top w:val="single" w:color="auto" w:sz="4" w:space="0"/>
              <w:left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在职人员控制率（</w:t>
            </w:r>
            <w:r>
              <w:rPr>
                <w:rFonts w:hint="eastAsia" w:ascii="仿宋_GB2312" w:hAnsi="新宋体" w:eastAsia="仿宋_GB2312" w:cs="仿宋_GB2312"/>
                <w:kern w:val="0"/>
                <w:szCs w:val="21"/>
              </w:rPr>
              <w:t>1分</w:t>
            </w:r>
            <w:r>
              <w:rPr>
                <w:rFonts w:ascii="仿宋_GB2312" w:hAnsi="新宋体" w:eastAsia="仿宋_GB2312" w:cs="仿宋_GB2312"/>
                <w:kern w:val="0"/>
                <w:szCs w:val="21"/>
              </w:rPr>
              <w:t>）</w:t>
            </w:r>
          </w:p>
        </w:tc>
        <w:tc>
          <w:tcPr>
            <w:tcW w:w="3436" w:type="dxa"/>
            <w:tcBorders>
              <w:top w:val="single" w:color="auto" w:sz="4" w:space="0"/>
              <w:left w:val="single" w:color="auto"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部门本年度实际在职人员数与编制数的比率，用以反映和评价部门对人员成本的控制程度。</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在职人员控制率=（在职人员数/编制数）×100%。</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在职人员数：部门实际在职人数，以财政部确定的部门决算编制口径为准，由编制部门和人劳部门批复同意的临聘人员除外。</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编制数：机构编制部门核定批复的部门人员编制数。</w:t>
            </w:r>
          </w:p>
        </w:tc>
        <w:tc>
          <w:tcPr>
            <w:tcW w:w="2373" w:type="dxa"/>
            <w:tcBorders>
              <w:top w:val="single" w:color="auto" w:sz="4" w:space="0"/>
              <w:left w:val="single" w:color="auto"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1.在职人员控制率小于或等于100%的，得满分；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2.在职人员控制率大于或等于115%的，得0分；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3.在职人员控制率在100%-115%之间的，在0分和满分之间计算确定：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得分=[max（在职人员控制率）－某部门在职人员控制率]/[max（在职人员控制率）－min（在职人员控制率）]×该指标分值。</w:t>
            </w:r>
          </w:p>
        </w:tc>
        <w:tc>
          <w:tcPr>
            <w:tcW w:w="764" w:type="dxa"/>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779" w:type="dxa"/>
            <w:vMerge w:val="restart"/>
            <w:tcBorders>
              <w:top w:val="single" w:color="000000" w:sz="4" w:space="0"/>
              <w:left w:val="single" w:color="000000" w:sz="4" w:space="0"/>
              <w:right w:val="single" w:color="000000" w:sz="4" w:space="0"/>
            </w:tcBorders>
            <w:vAlign w:val="center"/>
          </w:tcPr>
          <w:p>
            <w:pPr>
              <w:spacing w:line="240" w:lineRule="exact"/>
              <w:rPr>
                <w:rFonts w:ascii="宋体"/>
                <w:szCs w:val="21"/>
              </w:rPr>
            </w:pPr>
          </w:p>
        </w:tc>
        <w:tc>
          <w:tcPr>
            <w:tcW w:w="743" w:type="dxa"/>
            <w:vMerge w:val="continue"/>
            <w:tcBorders>
              <w:left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rPr>
            </w:pPr>
          </w:p>
        </w:tc>
        <w:tc>
          <w:tcPr>
            <w:tcW w:w="1275" w:type="dxa"/>
            <w:tcBorders>
              <w:top w:val="single" w:color="auto" w:sz="4" w:space="0"/>
              <w:left w:val="single" w:color="000000" w:sz="4" w:space="0"/>
              <w:right w:val="single" w:color="auto" w:sz="4" w:space="0"/>
            </w:tcBorders>
            <w:vAlign w:val="center"/>
          </w:tcPr>
          <w:p>
            <w:pPr>
              <w:widowControl/>
              <w:spacing w:line="240" w:lineRule="exact"/>
              <w:jc w:val="left"/>
              <w:textAlignment w:val="center"/>
              <w:rPr>
                <w:rFonts w:ascii="仿宋" w:hAnsi="仿宋" w:eastAsia="仿宋" w:cs="仿宋"/>
                <w:kern w:val="0"/>
                <w:szCs w:val="21"/>
              </w:rPr>
            </w:pPr>
            <w:r>
              <w:rPr>
                <w:rFonts w:hint="eastAsia" w:ascii="仿宋" w:hAnsi="仿宋" w:eastAsia="仿宋" w:cs="仿宋"/>
                <w:color w:val="000000"/>
                <w:kern w:val="0"/>
                <w:szCs w:val="21"/>
              </w:rPr>
              <w:t>“三公经费”变动率（2分）</w:t>
            </w:r>
          </w:p>
        </w:tc>
        <w:tc>
          <w:tcPr>
            <w:tcW w:w="3436" w:type="dxa"/>
            <w:tcBorders>
              <w:top w:val="single" w:color="auto" w:sz="4" w:space="0"/>
              <w:left w:val="single" w:color="auto" w:sz="4" w:space="0"/>
              <w:right w:val="single" w:color="auto" w:sz="4" w:space="0"/>
            </w:tcBorders>
            <w:vAlign w:val="center"/>
          </w:tcPr>
          <w:p>
            <w:pPr>
              <w:widowControl/>
              <w:spacing w:line="240" w:lineRule="exact"/>
              <w:jc w:val="left"/>
              <w:textAlignment w:val="center"/>
              <w:rPr>
                <w:rFonts w:ascii="仿宋" w:hAnsi="仿宋" w:eastAsia="仿宋" w:cs="仿宋"/>
                <w:kern w:val="0"/>
                <w:szCs w:val="21"/>
              </w:rPr>
            </w:pPr>
            <w:r>
              <w:rPr>
                <w:rFonts w:hint="eastAsia" w:ascii="仿宋" w:hAnsi="仿宋" w:eastAsia="仿宋" w:cs="仿宋"/>
                <w:color w:val="000000"/>
                <w:kern w:val="0"/>
                <w:szCs w:val="21"/>
              </w:rPr>
              <w:t>部门本年度“三公经费”预算数与上年度“三公经费”预算数的变动比率，用以反映和考核部门对控制重点行政成本的努力程度。“三公经费”变动率=[（本年度“三公经费”总额-上年度“三公经费”总额）/上年度“三公经费”总额]×100%。</w:t>
            </w:r>
            <w:r>
              <w:rPr>
                <w:rFonts w:hint="eastAsia" w:ascii="仿宋" w:hAnsi="仿宋" w:eastAsia="仿宋" w:cs="仿宋"/>
                <w:color w:val="000000"/>
                <w:kern w:val="0"/>
                <w:szCs w:val="21"/>
              </w:rPr>
              <w:br w:type="textWrapping"/>
            </w:r>
            <w:r>
              <w:rPr>
                <w:rFonts w:hint="eastAsia" w:ascii="仿宋" w:hAnsi="仿宋" w:eastAsia="仿宋" w:cs="仿宋"/>
                <w:color w:val="000000"/>
                <w:kern w:val="0"/>
                <w:szCs w:val="21"/>
              </w:rPr>
              <w:t>“三公经费”：年度预算安排的因公出国（境）费、公务车辆购置及运行费和公务招待费。</w:t>
            </w:r>
          </w:p>
        </w:tc>
        <w:tc>
          <w:tcPr>
            <w:tcW w:w="2373" w:type="dxa"/>
            <w:tcBorders>
              <w:top w:val="single" w:color="auto" w:sz="4" w:space="0"/>
              <w:left w:val="single" w:color="auto"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1.</w:t>
            </w:r>
            <w:r>
              <w:rPr>
                <w:rFonts w:hint="eastAsia" w:ascii="仿宋" w:hAnsi="仿宋" w:eastAsia="仿宋" w:cs="仿宋"/>
                <w:color w:val="000000"/>
                <w:kern w:val="0"/>
                <w:szCs w:val="21"/>
              </w:rPr>
              <w:t>“三公经费”变动率</w:t>
            </w:r>
            <w:r>
              <w:rPr>
                <w:rFonts w:ascii="仿宋_GB2312" w:hAnsi="新宋体" w:eastAsia="仿宋_GB2312" w:cs="仿宋_GB2312"/>
                <w:kern w:val="0"/>
                <w:szCs w:val="21"/>
              </w:rPr>
              <w:t>小于或等于</w:t>
            </w:r>
            <w:r>
              <w:rPr>
                <w:rFonts w:hint="eastAsia" w:ascii="仿宋_GB2312" w:hAnsi="新宋体" w:eastAsia="仿宋_GB2312" w:cs="仿宋_GB2312"/>
                <w:kern w:val="0"/>
                <w:szCs w:val="21"/>
              </w:rPr>
              <w:t>-5</w:t>
            </w:r>
            <w:r>
              <w:rPr>
                <w:rFonts w:ascii="仿宋_GB2312" w:hAnsi="新宋体" w:eastAsia="仿宋_GB2312" w:cs="仿宋_GB2312"/>
                <w:kern w:val="0"/>
                <w:szCs w:val="21"/>
              </w:rPr>
              <w:t>%的，得满分；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2.</w:t>
            </w:r>
            <w:r>
              <w:rPr>
                <w:rFonts w:hint="eastAsia" w:ascii="仿宋" w:hAnsi="仿宋" w:eastAsia="仿宋" w:cs="仿宋"/>
                <w:color w:val="000000"/>
                <w:kern w:val="0"/>
                <w:szCs w:val="21"/>
              </w:rPr>
              <w:t>“三公经费”变动率</w:t>
            </w:r>
            <w:r>
              <w:rPr>
                <w:rFonts w:ascii="仿宋_GB2312" w:hAnsi="新宋体" w:eastAsia="仿宋_GB2312" w:cs="仿宋_GB2312"/>
                <w:kern w:val="0"/>
                <w:szCs w:val="21"/>
              </w:rPr>
              <w:t>大于或等于1</w:t>
            </w:r>
            <w:r>
              <w:rPr>
                <w:rFonts w:hint="eastAsia" w:ascii="仿宋_GB2312" w:hAnsi="新宋体" w:eastAsia="仿宋_GB2312" w:cs="仿宋_GB2312"/>
                <w:kern w:val="0"/>
                <w:szCs w:val="21"/>
              </w:rPr>
              <w:t>0</w:t>
            </w:r>
            <w:r>
              <w:rPr>
                <w:rFonts w:ascii="仿宋_GB2312" w:hAnsi="新宋体" w:eastAsia="仿宋_GB2312" w:cs="仿宋_GB2312"/>
                <w:kern w:val="0"/>
                <w:szCs w:val="21"/>
              </w:rPr>
              <w:t>%的，得0分；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3.在职人员控制率在</w:t>
            </w:r>
            <w:r>
              <w:rPr>
                <w:rFonts w:hint="eastAsia" w:ascii="仿宋_GB2312" w:hAnsi="新宋体" w:eastAsia="仿宋_GB2312" w:cs="仿宋_GB2312"/>
                <w:kern w:val="0"/>
                <w:szCs w:val="21"/>
              </w:rPr>
              <w:t>-5</w:t>
            </w:r>
            <w:r>
              <w:rPr>
                <w:rFonts w:ascii="仿宋_GB2312" w:hAnsi="新宋体" w:eastAsia="仿宋_GB2312" w:cs="仿宋_GB2312"/>
                <w:kern w:val="0"/>
                <w:szCs w:val="21"/>
              </w:rPr>
              <w:t>%-</w:t>
            </w:r>
            <w:r>
              <w:rPr>
                <w:rFonts w:hint="eastAsia" w:ascii="仿宋_GB2312" w:hAnsi="新宋体" w:eastAsia="仿宋_GB2312" w:cs="仿宋_GB2312"/>
                <w:kern w:val="0"/>
                <w:szCs w:val="21"/>
              </w:rPr>
              <w:t>10</w:t>
            </w:r>
            <w:r>
              <w:rPr>
                <w:rFonts w:ascii="仿宋_GB2312" w:hAnsi="新宋体" w:eastAsia="仿宋_GB2312" w:cs="仿宋_GB2312"/>
                <w:kern w:val="0"/>
                <w:szCs w:val="21"/>
              </w:rPr>
              <w:t>%之间的，在0分和满分之间计算确定：</w:t>
            </w:r>
          </w:p>
          <w:p>
            <w:pPr>
              <w:widowControl/>
              <w:spacing w:line="240" w:lineRule="exact"/>
              <w:jc w:val="left"/>
              <w:textAlignment w:val="center"/>
              <w:rPr>
                <w:rFonts w:ascii="仿宋" w:hAnsi="仿宋" w:eastAsia="仿宋" w:cs="仿宋"/>
                <w:kern w:val="0"/>
                <w:szCs w:val="21"/>
              </w:rPr>
            </w:pPr>
            <w:r>
              <w:rPr>
                <w:rFonts w:ascii="仿宋_GB2312" w:hAnsi="新宋体" w:eastAsia="仿宋_GB2312" w:cs="仿宋_GB2312"/>
                <w:kern w:val="0"/>
                <w:szCs w:val="21"/>
              </w:rPr>
              <w:t>得分=[max（</w:t>
            </w:r>
            <w:r>
              <w:rPr>
                <w:rFonts w:hint="eastAsia" w:ascii="仿宋" w:hAnsi="仿宋" w:eastAsia="仿宋" w:cs="仿宋"/>
                <w:color w:val="000000"/>
                <w:kern w:val="0"/>
                <w:szCs w:val="21"/>
              </w:rPr>
              <w:t>“三公经费”变动率</w:t>
            </w:r>
            <w:r>
              <w:rPr>
                <w:rFonts w:ascii="仿宋_GB2312" w:hAnsi="新宋体" w:eastAsia="仿宋_GB2312" w:cs="仿宋_GB2312"/>
                <w:kern w:val="0"/>
                <w:szCs w:val="21"/>
              </w:rPr>
              <w:t>）－</w:t>
            </w:r>
            <w:r>
              <w:rPr>
                <w:rFonts w:hint="eastAsia" w:ascii="仿宋" w:hAnsi="仿宋" w:eastAsia="仿宋" w:cs="仿宋"/>
                <w:color w:val="000000"/>
                <w:kern w:val="0"/>
                <w:szCs w:val="21"/>
              </w:rPr>
              <w:t>“三公经费”变动率</w:t>
            </w:r>
            <w:r>
              <w:rPr>
                <w:rFonts w:ascii="仿宋_GB2312" w:hAnsi="新宋体" w:eastAsia="仿宋_GB2312" w:cs="仿宋_GB2312"/>
                <w:kern w:val="0"/>
                <w:szCs w:val="21"/>
              </w:rPr>
              <w:t>]/[max（</w:t>
            </w:r>
            <w:r>
              <w:rPr>
                <w:rFonts w:hint="eastAsia" w:ascii="仿宋" w:hAnsi="仿宋" w:eastAsia="仿宋" w:cs="仿宋"/>
                <w:color w:val="000000"/>
                <w:kern w:val="0"/>
                <w:szCs w:val="21"/>
              </w:rPr>
              <w:t>“三公经费”变动率</w:t>
            </w:r>
            <w:r>
              <w:rPr>
                <w:rFonts w:ascii="仿宋_GB2312" w:hAnsi="新宋体" w:eastAsia="仿宋_GB2312" w:cs="仿宋_GB2312"/>
                <w:kern w:val="0"/>
                <w:szCs w:val="21"/>
              </w:rPr>
              <w:t>）－min（</w:t>
            </w:r>
            <w:r>
              <w:rPr>
                <w:rFonts w:hint="eastAsia" w:ascii="仿宋" w:hAnsi="仿宋" w:eastAsia="仿宋" w:cs="仿宋"/>
                <w:color w:val="000000"/>
                <w:kern w:val="0"/>
                <w:szCs w:val="21"/>
              </w:rPr>
              <w:t>“三公经费”变动率</w:t>
            </w:r>
            <w:r>
              <w:rPr>
                <w:rFonts w:ascii="仿宋_GB2312" w:hAnsi="新宋体" w:eastAsia="仿宋_GB2312" w:cs="仿宋_GB2312"/>
                <w:kern w:val="0"/>
                <w:szCs w:val="21"/>
              </w:rPr>
              <w:t>）]×该指标分值。</w:t>
            </w:r>
          </w:p>
        </w:tc>
        <w:tc>
          <w:tcPr>
            <w:tcW w:w="764" w:type="dxa"/>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779" w:type="dxa"/>
            <w:vMerge w:val="continue"/>
            <w:tcBorders>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left w:val="single" w:color="000000" w:sz="4" w:space="0"/>
              <w:bottom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rPr>
            </w:pPr>
          </w:p>
        </w:tc>
        <w:tc>
          <w:tcPr>
            <w:tcW w:w="1275" w:type="dxa"/>
            <w:tcBorders>
              <w:top w:val="single" w:color="auto" w:sz="4" w:space="0"/>
              <w:left w:val="single" w:color="000000" w:sz="4" w:space="0"/>
              <w:right w:val="single" w:color="auto" w:sz="4" w:space="0"/>
            </w:tcBorders>
            <w:vAlign w:val="center"/>
          </w:tcPr>
          <w:p>
            <w:pPr>
              <w:widowControl/>
              <w:spacing w:line="240" w:lineRule="exact"/>
              <w:jc w:val="left"/>
              <w:textAlignment w:val="center"/>
              <w:rPr>
                <w:rFonts w:ascii="仿宋" w:hAnsi="仿宋" w:eastAsia="仿宋" w:cs="仿宋"/>
                <w:kern w:val="0"/>
                <w:szCs w:val="21"/>
              </w:rPr>
            </w:pPr>
            <w:r>
              <w:rPr>
                <w:rFonts w:hint="eastAsia" w:ascii="仿宋" w:hAnsi="仿宋" w:eastAsia="仿宋" w:cs="仿宋"/>
                <w:color w:val="000000"/>
                <w:kern w:val="0"/>
                <w:szCs w:val="21"/>
              </w:rPr>
              <w:t>重点支出安排率（2分）</w:t>
            </w:r>
          </w:p>
        </w:tc>
        <w:tc>
          <w:tcPr>
            <w:tcW w:w="3436" w:type="dxa"/>
            <w:tcBorders>
              <w:top w:val="single" w:color="auto" w:sz="4" w:space="0"/>
              <w:left w:val="single" w:color="auto" w:sz="4" w:space="0"/>
              <w:right w:val="single" w:color="auto" w:sz="4" w:space="0"/>
            </w:tcBorders>
            <w:vAlign w:val="center"/>
          </w:tcPr>
          <w:p>
            <w:pPr>
              <w:widowControl/>
              <w:spacing w:line="240" w:lineRule="exact"/>
              <w:jc w:val="left"/>
              <w:textAlignment w:val="center"/>
              <w:rPr>
                <w:rFonts w:ascii="仿宋" w:hAnsi="仿宋" w:eastAsia="仿宋" w:cs="仿宋"/>
                <w:kern w:val="0"/>
                <w:szCs w:val="21"/>
              </w:rPr>
            </w:pPr>
            <w:r>
              <w:rPr>
                <w:rFonts w:hint="eastAsia" w:ascii="仿宋" w:hAnsi="仿宋" w:eastAsia="仿宋" w:cs="仿宋"/>
                <w:color w:val="000000"/>
                <w:kern w:val="0"/>
                <w:szCs w:val="21"/>
              </w:rPr>
              <w:t>部门本年度预算安排的重点项目支出与部门项目总支出的比率，用以反映和考核部门对履行主要职责或完成重点任务的保障程度。重点支出安排率=（重点项目支出/项目总支出）×100%。</w:t>
            </w:r>
            <w:r>
              <w:rPr>
                <w:rFonts w:hint="eastAsia" w:ascii="仿宋" w:hAnsi="仿宋" w:eastAsia="仿宋" w:cs="仿宋"/>
                <w:color w:val="000000"/>
                <w:kern w:val="0"/>
                <w:szCs w:val="21"/>
              </w:rPr>
              <w:br w:type="textWrapping"/>
            </w:r>
            <w:r>
              <w:rPr>
                <w:rFonts w:hint="eastAsia" w:ascii="仿宋" w:hAnsi="仿宋" w:eastAsia="仿宋" w:cs="仿宋"/>
                <w:color w:val="000000"/>
                <w:kern w:val="0"/>
                <w:szCs w:val="21"/>
              </w:rPr>
              <w:t>重点项目支出：部门（单位）年度预算安排的，与本部门履职和发展密切相关、具有明显社会和经济影响、党委政府关心或社会比较关注的项目支出总额。</w:t>
            </w:r>
            <w:r>
              <w:rPr>
                <w:rFonts w:hint="eastAsia" w:ascii="仿宋" w:hAnsi="仿宋" w:eastAsia="仿宋" w:cs="仿宋"/>
                <w:color w:val="000000"/>
                <w:kern w:val="0"/>
                <w:szCs w:val="21"/>
              </w:rPr>
              <w:br w:type="textWrapping"/>
            </w:r>
            <w:r>
              <w:rPr>
                <w:rFonts w:hint="eastAsia" w:ascii="仿宋" w:hAnsi="仿宋" w:eastAsia="仿宋" w:cs="仿宋"/>
                <w:color w:val="000000"/>
                <w:kern w:val="0"/>
                <w:szCs w:val="21"/>
              </w:rPr>
              <w:t>项目总支出：部门（单位）年度预算安排的项目支出总额。</w:t>
            </w:r>
          </w:p>
        </w:tc>
        <w:tc>
          <w:tcPr>
            <w:tcW w:w="2373" w:type="dxa"/>
            <w:tcBorders>
              <w:top w:val="single" w:color="auto" w:sz="4" w:space="0"/>
              <w:left w:val="single" w:color="auto"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1.</w:t>
            </w:r>
            <w:r>
              <w:rPr>
                <w:rFonts w:hint="eastAsia" w:ascii="仿宋" w:hAnsi="仿宋" w:eastAsia="仿宋" w:cs="仿宋"/>
                <w:color w:val="000000"/>
                <w:kern w:val="0"/>
                <w:szCs w:val="21"/>
              </w:rPr>
              <w:t>重点支出安排率</w:t>
            </w:r>
            <w:r>
              <w:rPr>
                <w:rFonts w:ascii="仿宋_GB2312" w:hAnsi="新宋体" w:eastAsia="仿宋_GB2312" w:cs="仿宋_GB2312"/>
                <w:kern w:val="0"/>
                <w:szCs w:val="21"/>
              </w:rPr>
              <w:t>大于或等于95%的，得满分；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2.</w:t>
            </w:r>
            <w:r>
              <w:rPr>
                <w:rFonts w:hint="eastAsia" w:ascii="仿宋" w:hAnsi="仿宋" w:eastAsia="仿宋" w:cs="仿宋"/>
                <w:color w:val="000000"/>
                <w:kern w:val="0"/>
                <w:szCs w:val="21"/>
              </w:rPr>
              <w:t>重点支出安排率</w:t>
            </w:r>
            <w:r>
              <w:rPr>
                <w:rFonts w:ascii="仿宋_GB2312" w:hAnsi="新宋体" w:eastAsia="仿宋_GB2312" w:cs="仿宋_GB2312"/>
                <w:kern w:val="0"/>
                <w:szCs w:val="21"/>
              </w:rPr>
              <w:t>小于或等于85%的，得0分；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3.</w:t>
            </w:r>
            <w:r>
              <w:rPr>
                <w:rFonts w:hint="eastAsia" w:ascii="仿宋" w:hAnsi="仿宋" w:eastAsia="仿宋" w:cs="仿宋"/>
                <w:color w:val="000000"/>
                <w:kern w:val="0"/>
                <w:szCs w:val="21"/>
              </w:rPr>
              <w:t>重点支出安排率</w:t>
            </w:r>
            <w:r>
              <w:rPr>
                <w:rFonts w:ascii="仿宋_GB2312" w:hAnsi="新宋体" w:eastAsia="仿宋_GB2312" w:cs="仿宋_GB2312"/>
                <w:kern w:val="0"/>
                <w:szCs w:val="21"/>
              </w:rPr>
              <w:t>在85%-95%之间的，在0分和满分之间计算确定：</w:t>
            </w:r>
          </w:p>
          <w:p>
            <w:pPr>
              <w:widowControl/>
              <w:spacing w:line="240" w:lineRule="exact"/>
              <w:jc w:val="left"/>
              <w:textAlignment w:val="center"/>
              <w:rPr>
                <w:rFonts w:ascii="仿宋" w:hAnsi="仿宋" w:eastAsia="仿宋" w:cs="仿宋"/>
                <w:kern w:val="0"/>
                <w:szCs w:val="21"/>
              </w:rPr>
            </w:pPr>
            <w:r>
              <w:rPr>
                <w:rFonts w:ascii="仿宋_GB2312" w:hAnsi="新宋体" w:eastAsia="仿宋_GB2312" w:cs="仿宋_GB2312"/>
                <w:kern w:val="0"/>
                <w:szCs w:val="21"/>
              </w:rPr>
              <w:t>得分=[某部门</w:t>
            </w:r>
            <w:r>
              <w:rPr>
                <w:rFonts w:hint="eastAsia" w:ascii="仿宋" w:hAnsi="仿宋" w:eastAsia="仿宋" w:cs="仿宋"/>
                <w:color w:val="000000"/>
                <w:kern w:val="0"/>
                <w:szCs w:val="21"/>
              </w:rPr>
              <w:t>重点支出安排率</w:t>
            </w:r>
            <w:r>
              <w:rPr>
                <w:rFonts w:ascii="仿宋_GB2312" w:hAnsi="新宋体" w:eastAsia="仿宋_GB2312" w:cs="仿宋_GB2312"/>
                <w:kern w:val="0"/>
                <w:szCs w:val="21"/>
              </w:rPr>
              <w:t>-min（</w:t>
            </w:r>
            <w:r>
              <w:rPr>
                <w:rFonts w:hint="eastAsia" w:ascii="仿宋" w:hAnsi="仿宋" w:eastAsia="仿宋" w:cs="仿宋"/>
                <w:color w:val="000000"/>
                <w:kern w:val="0"/>
                <w:szCs w:val="21"/>
              </w:rPr>
              <w:t>重点支出安排率</w:t>
            </w:r>
            <w:r>
              <w:rPr>
                <w:rFonts w:ascii="仿宋_GB2312" w:hAnsi="新宋体" w:eastAsia="仿宋_GB2312" w:cs="仿宋_GB2312"/>
                <w:kern w:val="0"/>
                <w:szCs w:val="21"/>
              </w:rPr>
              <w:t>）]/[max（</w:t>
            </w:r>
            <w:r>
              <w:rPr>
                <w:rFonts w:hint="eastAsia" w:ascii="仿宋" w:hAnsi="仿宋" w:eastAsia="仿宋" w:cs="仿宋"/>
                <w:color w:val="000000"/>
                <w:kern w:val="0"/>
                <w:szCs w:val="21"/>
              </w:rPr>
              <w:t>重点支出安排率</w:t>
            </w:r>
            <w:r>
              <w:rPr>
                <w:rFonts w:ascii="仿宋_GB2312" w:hAnsi="新宋体" w:eastAsia="仿宋_GB2312" w:cs="仿宋_GB2312"/>
                <w:kern w:val="0"/>
                <w:szCs w:val="21"/>
              </w:rPr>
              <w:t>）－min（</w:t>
            </w:r>
            <w:r>
              <w:rPr>
                <w:rFonts w:hint="eastAsia" w:ascii="仿宋" w:hAnsi="仿宋" w:eastAsia="仿宋" w:cs="仿宋"/>
                <w:color w:val="000000"/>
                <w:kern w:val="0"/>
                <w:szCs w:val="21"/>
              </w:rPr>
              <w:t>重点支出安排率</w:t>
            </w:r>
            <w:r>
              <w:rPr>
                <w:rFonts w:ascii="仿宋_GB2312" w:hAnsi="新宋体" w:eastAsia="仿宋_GB2312" w:cs="仿宋_GB2312"/>
                <w:kern w:val="0"/>
                <w:szCs w:val="21"/>
              </w:rPr>
              <w:t>）]×该指标分值。</w:t>
            </w:r>
          </w:p>
        </w:tc>
        <w:tc>
          <w:tcPr>
            <w:tcW w:w="764" w:type="dxa"/>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rPr>
              <w:t>过程(</w:t>
            </w:r>
            <w:r>
              <w:rPr>
                <w:rFonts w:hint="eastAsia" w:ascii="仿宋_GB2312" w:hAnsi="新宋体" w:eastAsia="仿宋_GB2312" w:cs="仿宋_GB2312"/>
                <w:kern w:val="0"/>
                <w:szCs w:val="21"/>
              </w:rPr>
              <w:t>45分</w:t>
            </w:r>
            <w:r>
              <w:rPr>
                <w:rFonts w:ascii="仿宋_GB2312" w:hAnsi="新宋体" w:eastAsia="仿宋_GB2312" w:cs="仿宋_GB2312"/>
                <w:kern w:val="0"/>
                <w:szCs w:val="21"/>
              </w:rPr>
              <w:t>)</w:t>
            </w:r>
          </w:p>
        </w:tc>
        <w:tc>
          <w:tcPr>
            <w:tcW w:w="74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rPr>
              <w:t>预算执行</w:t>
            </w:r>
            <w:r>
              <w:rPr>
                <w:rFonts w:hint="eastAsia" w:ascii="仿宋_GB2312" w:hAnsi="新宋体" w:eastAsia="仿宋_GB2312" w:cs="仿宋_GB2312"/>
                <w:kern w:val="0"/>
                <w:szCs w:val="21"/>
              </w:rPr>
              <w:t>情况</w:t>
            </w:r>
            <w:r>
              <w:rPr>
                <w:rFonts w:ascii="仿宋_GB2312" w:hAnsi="新宋体" w:eastAsia="仿宋_GB2312" w:cs="仿宋_GB2312"/>
                <w:kern w:val="0"/>
                <w:szCs w:val="21"/>
              </w:rPr>
              <w:t>(</w:t>
            </w:r>
            <w:r>
              <w:rPr>
                <w:rFonts w:hint="eastAsia" w:ascii="仿宋_GB2312" w:hAnsi="新宋体" w:eastAsia="仿宋_GB2312" w:cs="仿宋_GB2312"/>
                <w:kern w:val="0"/>
                <w:szCs w:val="21"/>
              </w:rPr>
              <w:t>25分</w:t>
            </w:r>
            <w:r>
              <w:rPr>
                <w:rFonts w:ascii="仿宋_GB2312" w:hAnsi="新宋体" w:eastAsia="仿宋_GB2312" w:cs="仿宋_GB2312"/>
                <w:kern w:val="0"/>
                <w:szCs w:val="21"/>
              </w:rPr>
              <w:t>)</w:t>
            </w: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预算完成率（5</w:t>
            </w:r>
            <w:r>
              <w:rPr>
                <w:rFonts w:hint="eastAsia" w:ascii="仿宋_GB2312" w:hAnsi="新宋体" w:eastAsia="仿宋_GB2312" w:cs="仿宋_GB2312"/>
                <w:kern w:val="0"/>
                <w:szCs w:val="21"/>
              </w:rPr>
              <w:t>分</w:t>
            </w:r>
            <w:r>
              <w:rPr>
                <w:rFonts w:ascii="仿宋_GB2312" w:hAnsi="新宋体" w:eastAsia="仿宋_GB2312" w:cs="仿宋_GB2312"/>
                <w:kern w:val="0"/>
                <w:szCs w:val="21"/>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通过对部门本年度预算完成数与预算数的比较，反映和评价部门预算的完成程度。</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预算完成率=（预算完成数/预算数）×100%。</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1.预算完成率大于或等于95%的，得满分；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2.预算完成率小于或等于85%的，得0分；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3.预算完成率在85%-95%之间的，在0分和满分之间计算确定：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得分=[某部门预算完成率-min（预算完成率）]/[max（预算完成率）－min（预算完成率）]×该指标分值。</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预算调整率（</w:t>
            </w:r>
            <w:r>
              <w:rPr>
                <w:rFonts w:hint="eastAsia" w:ascii="仿宋_GB2312" w:hAnsi="新宋体" w:eastAsia="仿宋_GB2312" w:cs="仿宋_GB2312"/>
                <w:kern w:val="0"/>
                <w:szCs w:val="21"/>
              </w:rPr>
              <w:t>3分</w:t>
            </w:r>
            <w:r>
              <w:rPr>
                <w:rFonts w:ascii="仿宋_GB2312" w:hAnsi="新宋体" w:eastAsia="仿宋_GB2312" w:cs="仿宋_GB2312"/>
                <w:kern w:val="0"/>
                <w:szCs w:val="21"/>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部门本年度预算调整数与预算数的比率，用以反映和评价部门预算的调整程度。</w:t>
            </w:r>
          </w:p>
          <w:p>
            <w:pPr>
              <w:widowControl/>
              <w:spacing w:line="240" w:lineRule="exact"/>
              <w:jc w:val="left"/>
              <w:rPr>
                <w:szCs w:val="21"/>
              </w:rPr>
            </w:pPr>
            <w:r>
              <w:rPr>
                <w:rFonts w:ascii="仿宋_GB2312" w:hAnsi="新宋体" w:eastAsia="仿宋_GB2312" w:cs="仿宋_GB2312"/>
                <w:kern w:val="0"/>
                <w:szCs w:val="21"/>
              </w:rPr>
              <w:t>预算调整率=（预算调整数/预算数）×100%。</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 xml:space="preserve">1.预算调整率等于0的，得满分； </w:t>
            </w:r>
          </w:p>
          <w:p>
            <w:pPr>
              <w:widowControl/>
              <w:spacing w:line="240" w:lineRule="exact"/>
              <w:jc w:val="left"/>
              <w:rPr>
                <w:szCs w:val="21"/>
              </w:rPr>
            </w:pPr>
            <w:r>
              <w:rPr>
                <w:rFonts w:ascii="仿宋_GB2312" w:hAnsi="新宋体" w:eastAsia="仿宋_GB2312" w:cs="仿宋_GB2312"/>
                <w:kern w:val="0"/>
                <w:szCs w:val="21"/>
              </w:rPr>
              <w:t>2.预算调整率大于或等于10%的，得0分；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3.预算调整率在0-10%之间的，在0分和满分之间确定：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得分=［max（预算调整率）-某部门预算调整率］/［max（预算调整率）-min（预算调整率）］×该指标分值。</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4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color w:val="000000"/>
                <w:kern w:val="0"/>
                <w:szCs w:val="21"/>
              </w:rPr>
              <w:t>支付进度率</w:t>
            </w:r>
            <w:r>
              <w:rPr>
                <w:rFonts w:ascii="仿宋_GB2312" w:hAnsi="新宋体" w:eastAsia="仿宋_GB2312" w:cs="仿宋_GB2312"/>
                <w:kern w:val="0"/>
                <w:szCs w:val="21"/>
              </w:rPr>
              <w:t>（</w:t>
            </w:r>
            <w:r>
              <w:rPr>
                <w:rFonts w:hint="eastAsia" w:ascii="仿宋_GB2312" w:hAnsi="新宋体" w:eastAsia="仿宋_GB2312" w:cs="仿宋_GB2312"/>
                <w:kern w:val="0"/>
                <w:szCs w:val="21"/>
              </w:rPr>
              <w:t>5分</w:t>
            </w:r>
            <w:r>
              <w:rPr>
                <w:rFonts w:ascii="仿宋_GB2312" w:hAnsi="新宋体" w:eastAsia="仿宋_GB2312" w:cs="仿宋_GB2312"/>
                <w:kern w:val="0"/>
                <w:szCs w:val="21"/>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部门</w:t>
            </w:r>
            <w:r>
              <w:rPr>
                <w:rFonts w:hint="eastAsia" w:ascii="仿宋_GB2312" w:hAnsi="新宋体" w:eastAsia="仿宋_GB2312" w:cs="仿宋_GB2312"/>
                <w:kern w:val="0"/>
                <w:szCs w:val="21"/>
              </w:rPr>
              <w:t>年</w:t>
            </w:r>
            <w:r>
              <w:rPr>
                <w:rFonts w:ascii="仿宋_GB2312" w:hAnsi="新宋体" w:eastAsia="仿宋_GB2312" w:cs="仿宋_GB2312"/>
                <w:kern w:val="0"/>
                <w:szCs w:val="21"/>
              </w:rPr>
              <w:t>度支付数与</w:t>
            </w:r>
            <w:r>
              <w:rPr>
                <w:rFonts w:hint="eastAsia" w:ascii="仿宋_GB2312" w:hAnsi="新宋体" w:eastAsia="仿宋_GB2312" w:cs="仿宋_GB2312"/>
                <w:kern w:val="0"/>
                <w:szCs w:val="21"/>
              </w:rPr>
              <w:t>年</w:t>
            </w:r>
            <w:r>
              <w:rPr>
                <w:rFonts w:ascii="仿宋_GB2312" w:hAnsi="新宋体" w:eastAsia="仿宋_GB2312" w:cs="仿宋_GB2312"/>
                <w:kern w:val="0"/>
                <w:szCs w:val="21"/>
              </w:rPr>
              <w:t>度任务数的比率，用以反映和评价部门预算执行的及时和均衡程度。</w:t>
            </w:r>
          </w:p>
          <w:p>
            <w:pPr>
              <w:widowControl/>
              <w:spacing w:line="240" w:lineRule="exact"/>
              <w:jc w:val="left"/>
              <w:rPr>
                <w:szCs w:val="21"/>
              </w:rPr>
            </w:pPr>
            <w:r>
              <w:rPr>
                <w:rFonts w:ascii="仿宋_GB2312" w:hAnsi="新宋体" w:eastAsia="仿宋_GB2312" w:cs="仿宋_GB2312"/>
                <w:kern w:val="0"/>
                <w:szCs w:val="21"/>
              </w:rPr>
              <w:t>支付进度率=（</w:t>
            </w:r>
            <w:r>
              <w:rPr>
                <w:rFonts w:hint="eastAsia" w:ascii="仿宋_GB2312" w:hAnsi="新宋体" w:eastAsia="仿宋_GB2312" w:cs="仿宋_GB2312"/>
                <w:kern w:val="0"/>
                <w:szCs w:val="21"/>
              </w:rPr>
              <w:t>年</w:t>
            </w:r>
            <w:r>
              <w:rPr>
                <w:rFonts w:ascii="仿宋_GB2312" w:hAnsi="新宋体" w:eastAsia="仿宋_GB2312" w:cs="仿宋_GB2312"/>
                <w:kern w:val="0"/>
                <w:szCs w:val="21"/>
              </w:rPr>
              <w:t>度支付数/</w:t>
            </w:r>
            <w:r>
              <w:rPr>
                <w:rFonts w:hint="eastAsia" w:ascii="仿宋_GB2312" w:hAnsi="新宋体" w:eastAsia="仿宋_GB2312" w:cs="仿宋_GB2312"/>
                <w:kern w:val="0"/>
                <w:szCs w:val="21"/>
              </w:rPr>
              <w:t>年</w:t>
            </w:r>
            <w:r>
              <w:rPr>
                <w:rFonts w:ascii="仿宋_GB2312" w:hAnsi="新宋体" w:eastAsia="仿宋_GB2312" w:cs="仿宋_GB2312"/>
                <w:kern w:val="0"/>
                <w:szCs w:val="21"/>
              </w:rPr>
              <w:t>度任务数）×100%。</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按</w:t>
            </w:r>
            <w:r>
              <w:rPr>
                <w:rFonts w:hint="eastAsia" w:ascii="仿宋_GB2312" w:hAnsi="新宋体" w:eastAsia="仿宋_GB2312" w:cs="仿宋_GB2312"/>
                <w:kern w:val="0"/>
                <w:szCs w:val="21"/>
              </w:rPr>
              <w:t>年</w:t>
            </w:r>
            <w:r>
              <w:rPr>
                <w:rFonts w:ascii="仿宋_GB2312" w:hAnsi="新宋体" w:eastAsia="仿宋_GB2312" w:cs="仿宋_GB2312"/>
                <w:kern w:val="0"/>
                <w:szCs w:val="21"/>
              </w:rPr>
              <w:t>度的执行情况进行打分</w:t>
            </w:r>
            <w:r>
              <w:rPr>
                <w:rFonts w:hint="eastAsia" w:ascii="仿宋_GB2312" w:hAnsi="新宋体" w:eastAsia="仿宋_GB2312" w:cs="仿宋_GB2312"/>
                <w:kern w:val="0"/>
                <w:szCs w:val="21"/>
              </w:rPr>
              <w:t>。</w:t>
            </w:r>
            <w:r>
              <w:rPr>
                <w:rFonts w:ascii="仿宋_GB2312" w:hAnsi="新宋体" w:eastAsia="仿宋_GB2312" w:cs="仿宋_GB2312"/>
                <w:kern w:val="0"/>
                <w:szCs w:val="21"/>
              </w:rPr>
              <w:t>得分=</w:t>
            </w:r>
            <w:r>
              <w:rPr>
                <w:rFonts w:hint="eastAsia" w:ascii="仿宋_GB2312" w:hAnsi="新宋体" w:eastAsia="仿宋_GB2312" w:cs="仿宋_GB2312"/>
                <w:kern w:val="0"/>
                <w:szCs w:val="21"/>
              </w:rPr>
              <w:t>年</w:t>
            </w:r>
            <w:r>
              <w:rPr>
                <w:rFonts w:ascii="仿宋_GB2312" w:hAnsi="新宋体" w:eastAsia="仿宋_GB2312" w:cs="仿宋_GB2312"/>
                <w:kern w:val="0"/>
                <w:szCs w:val="21"/>
              </w:rPr>
              <w:t>度支付数/</w:t>
            </w:r>
            <w:r>
              <w:rPr>
                <w:rFonts w:hint="eastAsia" w:ascii="仿宋_GB2312" w:hAnsi="新宋体" w:eastAsia="仿宋_GB2312" w:cs="仿宋_GB2312"/>
                <w:kern w:val="0"/>
                <w:szCs w:val="21"/>
              </w:rPr>
              <w:t>年</w:t>
            </w:r>
            <w:r>
              <w:rPr>
                <w:rFonts w:ascii="仿宋_GB2312" w:hAnsi="新宋体" w:eastAsia="仿宋_GB2312" w:cs="仿宋_GB2312"/>
                <w:kern w:val="0"/>
                <w:szCs w:val="21"/>
              </w:rPr>
              <w:t>度任务数×该指标分值。</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74"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结转结余率（4</w:t>
            </w:r>
            <w:r>
              <w:rPr>
                <w:rFonts w:hint="eastAsia" w:ascii="仿宋_GB2312" w:hAnsi="新宋体" w:eastAsia="仿宋_GB2312" w:cs="仿宋_GB2312"/>
                <w:kern w:val="0"/>
                <w:szCs w:val="21"/>
              </w:rPr>
              <w:t>分</w:t>
            </w:r>
            <w:r>
              <w:rPr>
                <w:rFonts w:ascii="仿宋_GB2312" w:hAnsi="新宋体" w:eastAsia="仿宋_GB2312" w:cs="仿宋_GB2312"/>
                <w:kern w:val="0"/>
                <w:szCs w:val="21"/>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通过对部门本年度结转结余总额与支出预算数的比较，反映和评价部门对本年度结转结余资金的实际控制程度。</w:t>
            </w:r>
          </w:p>
          <w:p>
            <w:pPr>
              <w:widowControl/>
              <w:spacing w:line="240" w:lineRule="exact"/>
              <w:jc w:val="left"/>
              <w:rPr>
                <w:szCs w:val="21"/>
              </w:rPr>
            </w:pPr>
            <w:r>
              <w:rPr>
                <w:rFonts w:ascii="仿宋_GB2312" w:hAnsi="新宋体" w:eastAsia="仿宋_GB2312" w:cs="仿宋_GB2312"/>
                <w:kern w:val="0"/>
                <w:szCs w:val="21"/>
              </w:rPr>
              <w:t>结转结余率=（结转结余总额/支出预算数）×100%。</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1.结转结余率等于0的，得满分；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2.结转结余率大于或等于50%的，得0分；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3.结转结余率在0-50%之间的，在0和满分之间计算确定：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得分=[max（结转结余率）－某部门结转结余率]/[max（结转结余率）－min（结转结余率）]×该指标分值。</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10"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公用经费控制率（</w:t>
            </w:r>
            <w:r>
              <w:rPr>
                <w:rFonts w:hint="eastAsia" w:ascii="仿宋_GB2312" w:hAnsi="新宋体" w:eastAsia="仿宋_GB2312" w:cs="仿宋_GB2312"/>
                <w:kern w:val="0"/>
                <w:szCs w:val="21"/>
              </w:rPr>
              <w:t>4分</w:t>
            </w:r>
            <w:r>
              <w:rPr>
                <w:rFonts w:ascii="仿宋_GB2312" w:hAnsi="新宋体" w:eastAsia="仿宋_GB2312" w:cs="仿宋_GB2312"/>
                <w:kern w:val="0"/>
                <w:szCs w:val="21"/>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通过对部门本年度实际支出的公用经费总额与预算安排的公用经费总额的比率，反映和评价部门对机构运转成本的实际控制程度。</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公用经费控制率=（实际支出公用经费总额/预算安排公用经费总额）×100%。</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1.公用经费控制率小于或等于100%的，得满分；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2.公用经费控制率大于或等于105%的，得0分；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3.公用经费控制率在100%-105%之间的，在0和满分之间计算确定：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得分=［max（公用经费控制率）-某部门公用经费控制率］/［max（公用经费控制率）-min（公用经费控制率）］×该指标分值。</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00"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政府采购执行率（</w:t>
            </w:r>
            <w:r>
              <w:rPr>
                <w:rFonts w:hint="eastAsia" w:ascii="仿宋_GB2312" w:hAnsi="新宋体" w:eastAsia="仿宋_GB2312" w:cs="仿宋_GB2312"/>
                <w:kern w:val="0"/>
                <w:szCs w:val="21"/>
              </w:rPr>
              <w:t>4分</w:t>
            </w:r>
            <w:r>
              <w:rPr>
                <w:rFonts w:ascii="仿宋_GB2312" w:hAnsi="新宋体" w:eastAsia="仿宋_GB2312" w:cs="仿宋_GB2312"/>
                <w:kern w:val="0"/>
                <w:szCs w:val="21"/>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通过对部门本年度实际政府采购预算项目个数与政府采购预算项目个数的比较，反映和评价部门政府采购预算执行情况。</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政府采购执行率=（实际政府采购预算项目个数/政府采购预算项目个数）×100%。</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政府采购项目中非预算内安排的项目除外。</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1.政府采购执行率等于100%的，得满分；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2.政府采购执行率小于或等于90%的，0分；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3.政府采购执行率在90%-100%之间的，在0和满分之间计算确定：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得分=［某部门政府采购执行率-min（政府采购执行率）］/［max（政府采购执行率）-min（政府采购执行率）］×该指标分值。</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rPr>
              <w:t>预算管理</w:t>
            </w:r>
            <w:r>
              <w:rPr>
                <w:rFonts w:hint="eastAsia" w:ascii="仿宋_GB2312" w:hAnsi="新宋体" w:eastAsia="仿宋_GB2312" w:cs="仿宋_GB2312"/>
                <w:kern w:val="0"/>
                <w:szCs w:val="21"/>
              </w:rPr>
              <w:t>情况</w:t>
            </w:r>
          </w:p>
          <w:p>
            <w:pPr>
              <w:widowControl/>
              <w:spacing w:line="240" w:lineRule="exact"/>
              <w:jc w:val="left"/>
              <w:rPr>
                <w:szCs w:val="21"/>
              </w:rPr>
            </w:pPr>
            <w:r>
              <w:rPr>
                <w:rFonts w:ascii="仿宋_GB2312" w:hAnsi="新宋体" w:eastAsia="仿宋_GB2312" w:cs="仿宋_GB2312"/>
                <w:kern w:val="0"/>
                <w:szCs w:val="21"/>
              </w:rPr>
              <w:t>（15）</w:t>
            </w: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资金使用合规性（8</w:t>
            </w:r>
            <w:r>
              <w:rPr>
                <w:rFonts w:hint="eastAsia" w:ascii="仿宋_GB2312" w:hAnsi="新宋体" w:eastAsia="仿宋_GB2312" w:cs="仿宋_GB2312"/>
                <w:kern w:val="0"/>
                <w:szCs w:val="21"/>
              </w:rPr>
              <w:t>分</w:t>
            </w:r>
            <w:r>
              <w:rPr>
                <w:rFonts w:ascii="仿宋_GB2312" w:hAnsi="新宋体" w:eastAsia="仿宋_GB2312" w:cs="仿宋_GB2312"/>
                <w:kern w:val="0"/>
                <w:szCs w:val="21"/>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部门使用预算资金是否符合相关的预算财务管理制度的规定，反映和评价部门预算资金的规范运行情况。</w:t>
            </w:r>
          </w:p>
          <w:p>
            <w:pPr>
              <w:widowControl/>
              <w:spacing w:line="240" w:lineRule="exact"/>
              <w:jc w:val="left"/>
              <w:rPr>
                <w:szCs w:val="21"/>
              </w:rPr>
            </w:pPr>
            <w:r>
              <w:rPr>
                <w:rFonts w:ascii="仿宋_GB2312" w:hAnsi="新宋体" w:eastAsia="仿宋_GB2312" w:cs="仿宋_GB2312"/>
                <w:kern w:val="0"/>
                <w:szCs w:val="21"/>
              </w:rPr>
              <w:t>评价要点：</w:t>
            </w:r>
          </w:p>
          <w:p>
            <w:pPr>
              <w:widowControl/>
              <w:spacing w:line="240" w:lineRule="exact"/>
              <w:jc w:val="left"/>
              <w:rPr>
                <w:szCs w:val="21"/>
              </w:rPr>
            </w:pPr>
            <w:r>
              <w:rPr>
                <w:rFonts w:ascii="仿宋_GB2312" w:hAnsi="新宋体" w:eastAsia="仿宋_GB2312" w:cs="仿宋_GB2312"/>
                <w:kern w:val="0"/>
                <w:szCs w:val="21"/>
              </w:rPr>
              <w:t>1.符合国家财经法规和财务管理制度规定以及有关部门资金管理办法的规定；</w:t>
            </w:r>
          </w:p>
          <w:p>
            <w:pPr>
              <w:widowControl/>
              <w:spacing w:line="240" w:lineRule="exact"/>
              <w:jc w:val="left"/>
              <w:rPr>
                <w:szCs w:val="21"/>
              </w:rPr>
            </w:pPr>
            <w:r>
              <w:rPr>
                <w:rFonts w:ascii="仿宋_GB2312" w:hAnsi="新宋体" w:eastAsia="仿宋_GB2312" w:cs="仿宋_GB2312"/>
                <w:kern w:val="0"/>
                <w:szCs w:val="21"/>
              </w:rPr>
              <w:t>2.资金的拨付有完整的审批过程和手续；</w:t>
            </w:r>
          </w:p>
          <w:p>
            <w:pPr>
              <w:widowControl/>
              <w:spacing w:line="240" w:lineRule="exact"/>
              <w:jc w:val="left"/>
              <w:rPr>
                <w:szCs w:val="21"/>
              </w:rPr>
            </w:pPr>
            <w:r>
              <w:rPr>
                <w:rFonts w:ascii="仿宋_GB2312" w:hAnsi="新宋体" w:eastAsia="仿宋_GB2312" w:cs="仿宋_GB2312"/>
                <w:kern w:val="0"/>
                <w:szCs w:val="21"/>
              </w:rPr>
              <w:t>3.项目的重大开支经过评估论证；</w:t>
            </w:r>
          </w:p>
          <w:p>
            <w:pPr>
              <w:widowControl/>
              <w:spacing w:line="240" w:lineRule="exact"/>
              <w:jc w:val="left"/>
              <w:rPr>
                <w:szCs w:val="21"/>
              </w:rPr>
            </w:pPr>
            <w:r>
              <w:rPr>
                <w:rFonts w:ascii="仿宋_GB2312" w:hAnsi="新宋体" w:eastAsia="仿宋_GB2312" w:cs="仿宋_GB2312"/>
                <w:kern w:val="0"/>
                <w:szCs w:val="21"/>
              </w:rPr>
              <w:t>4.符合部门预算批复的用途；</w:t>
            </w:r>
          </w:p>
          <w:p>
            <w:pPr>
              <w:widowControl/>
              <w:spacing w:line="240" w:lineRule="exact"/>
              <w:jc w:val="left"/>
              <w:rPr>
                <w:szCs w:val="21"/>
              </w:rPr>
            </w:pPr>
            <w:r>
              <w:rPr>
                <w:rFonts w:ascii="仿宋_GB2312" w:hAnsi="新宋体" w:eastAsia="仿宋_GB2312" w:cs="仿宋_GB2312"/>
                <w:kern w:val="0"/>
                <w:szCs w:val="21"/>
              </w:rPr>
              <w:t>5.不存在截留情况；</w:t>
            </w:r>
          </w:p>
          <w:p>
            <w:pPr>
              <w:widowControl/>
              <w:spacing w:line="240" w:lineRule="exact"/>
              <w:jc w:val="left"/>
              <w:rPr>
                <w:szCs w:val="21"/>
              </w:rPr>
            </w:pPr>
            <w:r>
              <w:rPr>
                <w:rFonts w:ascii="仿宋_GB2312" w:hAnsi="新宋体" w:eastAsia="仿宋_GB2312" w:cs="仿宋_GB2312"/>
                <w:kern w:val="0"/>
                <w:szCs w:val="21"/>
              </w:rPr>
              <w:t>6.不存在挤占情况；</w:t>
            </w:r>
          </w:p>
          <w:p>
            <w:pPr>
              <w:widowControl/>
              <w:spacing w:line="240" w:lineRule="exact"/>
              <w:jc w:val="left"/>
              <w:rPr>
                <w:szCs w:val="21"/>
              </w:rPr>
            </w:pPr>
            <w:r>
              <w:rPr>
                <w:rFonts w:ascii="仿宋_GB2312" w:hAnsi="新宋体" w:eastAsia="仿宋_GB2312" w:cs="仿宋_GB2312"/>
                <w:kern w:val="0"/>
                <w:szCs w:val="21"/>
              </w:rPr>
              <w:t>7.不存在挪用情况；</w:t>
            </w:r>
          </w:p>
          <w:p>
            <w:pPr>
              <w:widowControl/>
              <w:spacing w:line="240" w:lineRule="exact"/>
              <w:jc w:val="left"/>
              <w:rPr>
                <w:szCs w:val="21"/>
              </w:rPr>
            </w:pPr>
            <w:r>
              <w:rPr>
                <w:rFonts w:ascii="仿宋_GB2312" w:hAnsi="新宋体" w:eastAsia="仿宋_GB2312" w:cs="仿宋_GB2312"/>
                <w:kern w:val="0"/>
                <w:szCs w:val="21"/>
              </w:rPr>
              <w:t>8.不存在虚列支出情况。</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全部符合（8）；</w:t>
            </w:r>
          </w:p>
          <w:p>
            <w:pPr>
              <w:widowControl/>
              <w:spacing w:line="240" w:lineRule="exact"/>
              <w:jc w:val="left"/>
              <w:rPr>
                <w:szCs w:val="21"/>
              </w:rPr>
            </w:pPr>
            <w:r>
              <w:rPr>
                <w:rFonts w:ascii="仿宋_GB2312" w:hAnsi="新宋体" w:eastAsia="仿宋_GB2312" w:cs="仿宋_GB2312"/>
                <w:kern w:val="0"/>
                <w:szCs w:val="21"/>
              </w:rPr>
              <w:t>符合其中七项（6）；</w:t>
            </w:r>
          </w:p>
          <w:p>
            <w:pPr>
              <w:widowControl/>
              <w:spacing w:line="240" w:lineRule="exact"/>
              <w:jc w:val="left"/>
              <w:rPr>
                <w:szCs w:val="21"/>
              </w:rPr>
            </w:pPr>
            <w:r>
              <w:rPr>
                <w:rFonts w:ascii="仿宋_GB2312" w:hAnsi="新宋体" w:eastAsia="仿宋_GB2312" w:cs="仿宋_GB2312"/>
                <w:kern w:val="0"/>
                <w:szCs w:val="21"/>
              </w:rPr>
              <w:t>符合其中六项（4）；</w:t>
            </w:r>
          </w:p>
          <w:p>
            <w:pPr>
              <w:widowControl/>
              <w:spacing w:line="240" w:lineRule="exact"/>
              <w:jc w:val="left"/>
              <w:rPr>
                <w:szCs w:val="21"/>
              </w:rPr>
            </w:pPr>
            <w:r>
              <w:rPr>
                <w:rFonts w:ascii="仿宋_GB2312" w:hAnsi="新宋体" w:eastAsia="仿宋_GB2312" w:cs="仿宋_GB2312"/>
                <w:kern w:val="0"/>
                <w:szCs w:val="21"/>
              </w:rPr>
              <w:t>符合其中五项（2）；</w:t>
            </w:r>
          </w:p>
          <w:p>
            <w:pPr>
              <w:widowControl/>
              <w:spacing w:line="240" w:lineRule="exact"/>
              <w:jc w:val="left"/>
              <w:rPr>
                <w:szCs w:val="21"/>
              </w:rPr>
            </w:pPr>
            <w:r>
              <w:rPr>
                <w:rFonts w:ascii="仿宋_GB2312" w:hAnsi="新宋体" w:eastAsia="仿宋_GB2312" w:cs="仿宋_GB2312"/>
                <w:kern w:val="0"/>
                <w:szCs w:val="21"/>
              </w:rPr>
              <w:t>符合其中四项及以下（0）。</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预决算信息公开性（3</w:t>
            </w:r>
            <w:r>
              <w:rPr>
                <w:rFonts w:hint="eastAsia" w:ascii="仿宋_GB2312" w:hAnsi="新宋体" w:eastAsia="仿宋_GB2312" w:cs="仿宋_GB2312"/>
                <w:kern w:val="0"/>
                <w:szCs w:val="21"/>
              </w:rPr>
              <w:t>分</w:t>
            </w:r>
            <w:r>
              <w:rPr>
                <w:rFonts w:ascii="仿宋_GB2312" w:hAnsi="新宋体" w:eastAsia="仿宋_GB2312" w:cs="仿宋_GB2312"/>
                <w:kern w:val="0"/>
                <w:szCs w:val="21"/>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部门是否按照政府信息公开有关规定公开相关预决算信息，用以反映和评价部门预决算管理的公开透明情况。</w:t>
            </w:r>
          </w:p>
          <w:p>
            <w:pPr>
              <w:widowControl/>
              <w:spacing w:line="240" w:lineRule="exact"/>
              <w:jc w:val="left"/>
              <w:rPr>
                <w:szCs w:val="21"/>
              </w:rPr>
            </w:pPr>
            <w:r>
              <w:rPr>
                <w:rFonts w:ascii="仿宋_GB2312" w:hAnsi="新宋体" w:eastAsia="仿宋_GB2312" w:cs="仿宋_GB2312"/>
                <w:kern w:val="0"/>
                <w:szCs w:val="21"/>
              </w:rPr>
              <w:t>预决算信息是指与部门预算、执行、决算、监督、绩效等管理相关的信息。</w:t>
            </w:r>
          </w:p>
          <w:p>
            <w:pPr>
              <w:widowControl/>
              <w:spacing w:line="240" w:lineRule="exact"/>
              <w:jc w:val="left"/>
              <w:rPr>
                <w:szCs w:val="21"/>
              </w:rPr>
            </w:pPr>
            <w:r>
              <w:rPr>
                <w:rFonts w:ascii="仿宋_GB2312" w:hAnsi="新宋体" w:eastAsia="仿宋_GB2312" w:cs="仿宋_GB2312"/>
                <w:kern w:val="0"/>
                <w:szCs w:val="21"/>
              </w:rPr>
              <w:t>评价要点：</w:t>
            </w:r>
          </w:p>
          <w:p>
            <w:pPr>
              <w:widowControl/>
              <w:spacing w:line="240" w:lineRule="exact"/>
              <w:jc w:val="left"/>
              <w:rPr>
                <w:szCs w:val="21"/>
              </w:rPr>
            </w:pPr>
            <w:r>
              <w:rPr>
                <w:rFonts w:ascii="仿宋_GB2312" w:hAnsi="新宋体" w:eastAsia="仿宋_GB2312" w:cs="仿宋_GB2312"/>
                <w:kern w:val="0"/>
                <w:szCs w:val="21"/>
              </w:rPr>
              <w:t>1.公开预决算信息；</w:t>
            </w:r>
          </w:p>
          <w:p>
            <w:pPr>
              <w:widowControl/>
              <w:spacing w:line="240" w:lineRule="exact"/>
              <w:jc w:val="left"/>
              <w:rPr>
                <w:szCs w:val="21"/>
              </w:rPr>
            </w:pPr>
            <w:r>
              <w:rPr>
                <w:rFonts w:ascii="仿宋_GB2312" w:hAnsi="新宋体" w:eastAsia="仿宋_GB2312" w:cs="仿宋_GB2312"/>
                <w:kern w:val="0"/>
                <w:szCs w:val="21"/>
              </w:rPr>
              <w:t>2.按规定内容公开预决算信息；</w:t>
            </w:r>
          </w:p>
          <w:p>
            <w:pPr>
              <w:widowControl/>
              <w:spacing w:line="240" w:lineRule="exact"/>
              <w:jc w:val="left"/>
              <w:rPr>
                <w:szCs w:val="21"/>
              </w:rPr>
            </w:pPr>
            <w:r>
              <w:rPr>
                <w:rFonts w:ascii="仿宋_GB2312" w:hAnsi="新宋体" w:eastAsia="仿宋_GB2312" w:cs="仿宋_GB2312"/>
                <w:kern w:val="0"/>
                <w:szCs w:val="21"/>
              </w:rPr>
              <w:t>3.按规定时限公开预决算信息。</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全部符合（3）；</w:t>
            </w:r>
          </w:p>
          <w:p>
            <w:pPr>
              <w:widowControl/>
              <w:spacing w:line="240" w:lineRule="exact"/>
              <w:jc w:val="left"/>
              <w:rPr>
                <w:szCs w:val="21"/>
              </w:rPr>
            </w:pPr>
            <w:r>
              <w:rPr>
                <w:rFonts w:ascii="仿宋_GB2312" w:hAnsi="新宋体" w:eastAsia="仿宋_GB2312" w:cs="仿宋_GB2312"/>
                <w:kern w:val="0"/>
                <w:szCs w:val="21"/>
              </w:rPr>
              <w:t>符合其中两项（2）</w:t>
            </w:r>
          </w:p>
          <w:p>
            <w:pPr>
              <w:widowControl/>
              <w:spacing w:line="240" w:lineRule="exact"/>
              <w:jc w:val="left"/>
              <w:rPr>
                <w:szCs w:val="21"/>
              </w:rPr>
            </w:pPr>
            <w:r>
              <w:rPr>
                <w:rFonts w:ascii="仿宋_GB2312" w:hAnsi="新宋体" w:eastAsia="仿宋_GB2312" w:cs="仿宋_GB2312"/>
                <w:kern w:val="0"/>
                <w:szCs w:val="21"/>
              </w:rPr>
              <w:t>符合其中一项及以下（0）。</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color w:val="000000"/>
                <w:kern w:val="0"/>
                <w:szCs w:val="21"/>
              </w:rPr>
              <w:t>基础信息完善性</w:t>
            </w:r>
            <w:r>
              <w:rPr>
                <w:rFonts w:ascii="仿宋_GB2312" w:hAnsi="新宋体" w:eastAsia="仿宋_GB2312" w:cs="仿宋_GB2312"/>
                <w:kern w:val="0"/>
                <w:szCs w:val="21"/>
              </w:rPr>
              <w:t>（4</w:t>
            </w:r>
            <w:r>
              <w:rPr>
                <w:rFonts w:hint="eastAsia" w:ascii="仿宋_GB2312" w:hAnsi="新宋体" w:eastAsia="仿宋_GB2312" w:cs="仿宋_GB2312"/>
                <w:kern w:val="0"/>
                <w:szCs w:val="21"/>
              </w:rPr>
              <w:t>分</w:t>
            </w:r>
            <w:r>
              <w:rPr>
                <w:rFonts w:ascii="仿宋_GB2312" w:hAnsi="新宋体" w:eastAsia="仿宋_GB2312" w:cs="仿宋_GB2312"/>
                <w:kern w:val="0"/>
                <w:szCs w:val="21"/>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部门基础信息是否完善，用以反映和评价基础信息对预算管理工作的支撑情况。</w:t>
            </w:r>
          </w:p>
          <w:p>
            <w:pPr>
              <w:widowControl/>
              <w:spacing w:line="240" w:lineRule="exact"/>
              <w:jc w:val="left"/>
              <w:rPr>
                <w:szCs w:val="21"/>
              </w:rPr>
            </w:pPr>
            <w:r>
              <w:rPr>
                <w:rFonts w:ascii="仿宋_GB2312" w:hAnsi="新宋体" w:eastAsia="仿宋_GB2312" w:cs="仿宋_GB2312"/>
                <w:kern w:val="0"/>
                <w:szCs w:val="21"/>
              </w:rPr>
              <w:t>评价要点：</w:t>
            </w:r>
          </w:p>
          <w:p>
            <w:pPr>
              <w:widowControl/>
              <w:spacing w:line="240" w:lineRule="exact"/>
              <w:jc w:val="left"/>
              <w:rPr>
                <w:szCs w:val="21"/>
              </w:rPr>
            </w:pPr>
            <w:r>
              <w:rPr>
                <w:rFonts w:ascii="仿宋_GB2312" w:hAnsi="新宋体" w:eastAsia="仿宋_GB2312" w:cs="仿宋_GB2312"/>
                <w:kern w:val="0"/>
                <w:szCs w:val="21"/>
              </w:rPr>
              <w:t>1.基本财务管理制度健全；</w:t>
            </w:r>
          </w:p>
          <w:p>
            <w:pPr>
              <w:widowControl/>
              <w:spacing w:line="240" w:lineRule="exact"/>
              <w:jc w:val="left"/>
              <w:rPr>
                <w:szCs w:val="21"/>
              </w:rPr>
            </w:pPr>
            <w:r>
              <w:rPr>
                <w:rFonts w:ascii="仿宋_GB2312" w:hAnsi="新宋体" w:eastAsia="仿宋_GB2312" w:cs="仿宋_GB2312"/>
                <w:kern w:val="0"/>
                <w:szCs w:val="21"/>
              </w:rPr>
              <w:t>2.基础数据信息和会计信息资料真实；</w:t>
            </w:r>
          </w:p>
          <w:p>
            <w:pPr>
              <w:widowControl/>
              <w:spacing w:line="240" w:lineRule="exact"/>
              <w:jc w:val="left"/>
              <w:rPr>
                <w:szCs w:val="21"/>
              </w:rPr>
            </w:pPr>
            <w:r>
              <w:rPr>
                <w:rFonts w:ascii="仿宋_GB2312" w:hAnsi="新宋体" w:eastAsia="仿宋_GB2312" w:cs="仿宋_GB2312"/>
                <w:kern w:val="0"/>
                <w:szCs w:val="21"/>
              </w:rPr>
              <w:t>3.基础数据信息和会计信息资料完整；</w:t>
            </w:r>
          </w:p>
          <w:p>
            <w:pPr>
              <w:widowControl/>
              <w:spacing w:line="240" w:lineRule="exact"/>
              <w:jc w:val="left"/>
              <w:rPr>
                <w:szCs w:val="21"/>
              </w:rPr>
            </w:pPr>
            <w:r>
              <w:rPr>
                <w:rFonts w:ascii="仿宋_GB2312" w:hAnsi="新宋体" w:eastAsia="仿宋_GB2312" w:cs="仿宋_GB2312"/>
                <w:kern w:val="0"/>
                <w:szCs w:val="21"/>
              </w:rPr>
              <w:t>4.基础数据信息和会计信息资料准确。</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符合全部四项（4）；</w:t>
            </w:r>
          </w:p>
          <w:p>
            <w:pPr>
              <w:widowControl/>
              <w:spacing w:line="240" w:lineRule="exact"/>
              <w:jc w:val="left"/>
              <w:rPr>
                <w:szCs w:val="21"/>
              </w:rPr>
            </w:pPr>
            <w:r>
              <w:rPr>
                <w:rFonts w:ascii="仿宋_GB2312" w:hAnsi="新宋体" w:eastAsia="仿宋_GB2312" w:cs="仿宋_GB2312"/>
                <w:kern w:val="0"/>
                <w:szCs w:val="21"/>
              </w:rPr>
              <w:t>符合其中三项（2）；</w:t>
            </w:r>
          </w:p>
          <w:p>
            <w:pPr>
              <w:widowControl/>
              <w:spacing w:line="240" w:lineRule="exact"/>
              <w:jc w:val="left"/>
              <w:rPr>
                <w:szCs w:val="21"/>
              </w:rPr>
            </w:pPr>
            <w:r>
              <w:rPr>
                <w:rFonts w:ascii="仿宋_GB2312" w:hAnsi="新宋体" w:eastAsia="仿宋_GB2312" w:cs="仿宋_GB2312"/>
                <w:kern w:val="0"/>
                <w:szCs w:val="21"/>
              </w:rPr>
              <w:t>符合其中两项（1）；</w:t>
            </w:r>
          </w:p>
          <w:p>
            <w:pPr>
              <w:widowControl/>
              <w:spacing w:line="240" w:lineRule="exact"/>
              <w:jc w:val="left"/>
              <w:rPr>
                <w:szCs w:val="21"/>
              </w:rPr>
            </w:pPr>
            <w:r>
              <w:rPr>
                <w:rFonts w:ascii="仿宋_GB2312" w:hAnsi="新宋体" w:eastAsia="仿宋_GB2312" w:cs="仿宋_GB2312"/>
                <w:kern w:val="0"/>
                <w:szCs w:val="21"/>
              </w:rPr>
              <w:t>符合其中一项及以下（0）。</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rPr>
              <w:t>资产管理</w:t>
            </w:r>
            <w:r>
              <w:rPr>
                <w:rFonts w:hint="eastAsia" w:ascii="仿宋_GB2312" w:hAnsi="新宋体" w:eastAsia="仿宋_GB2312" w:cs="仿宋_GB2312"/>
                <w:kern w:val="0"/>
                <w:szCs w:val="21"/>
              </w:rPr>
              <w:t>情况</w:t>
            </w:r>
            <w:r>
              <w:rPr>
                <w:rFonts w:ascii="仿宋_GB2312" w:hAnsi="新宋体" w:eastAsia="仿宋_GB2312" w:cs="仿宋_GB2312"/>
                <w:kern w:val="0"/>
                <w:szCs w:val="21"/>
              </w:rPr>
              <w:t>（</w:t>
            </w:r>
            <w:r>
              <w:rPr>
                <w:rFonts w:hint="eastAsia" w:ascii="仿宋_GB2312" w:hAnsi="新宋体" w:eastAsia="仿宋_GB2312" w:cs="仿宋_GB2312"/>
                <w:kern w:val="0"/>
                <w:szCs w:val="21"/>
              </w:rPr>
              <w:t>5分</w:t>
            </w:r>
            <w:r>
              <w:rPr>
                <w:rFonts w:ascii="仿宋_GB2312" w:hAnsi="新宋体" w:eastAsia="仿宋_GB2312" w:cs="仿宋_GB2312"/>
                <w:kern w:val="0"/>
                <w:szCs w:val="21"/>
              </w:rPr>
              <w:t>）</w:t>
            </w:r>
          </w:p>
        </w:tc>
        <w:tc>
          <w:tcPr>
            <w:tcW w:w="1275" w:type="dxa"/>
            <w:tcBorders>
              <w:top w:val="single" w:color="auto"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资产管理完整性（</w:t>
            </w:r>
            <w:r>
              <w:rPr>
                <w:rFonts w:hint="eastAsia" w:ascii="仿宋_GB2312" w:hAnsi="新宋体" w:eastAsia="仿宋_GB2312" w:cs="仿宋_GB2312"/>
                <w:kern w:val="0"/>
                <w:szCs w:val="21"/>
              </w:rPr>
              <w:t>2分</w:t>
            </w:r>
            <w:r>
              <w:rPr>
                <w:rFonts w:ascii="仿宋_GB2312" w:hAnsi="新宋体" w:eastAsia="仿宋_GB2312" w:cs="仿宋_GB2312"/>
                <w:kern w:val="0"/>
                <w:szCs w:val="21"/>
              </w:rPr>
              <w:t>）</w:t>
            </w:r>
          </w:p>
        </w:tc>
        <w:tc>
          <w:tcPr>
            <w:tcW w:w="3436" w:type="dxa"/>
            <w:tcBorders>
              <w:top w:val="single" w:color="auto"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部门的资产是否保存完整、使用合规、收入及时足额上缴，用以反映和评价部门资产运行情况。</w:t>
            </w:r>
          </w:p>
          <w:p>
            <w:pPr>
              <w:widowControl/>
              <w:spacing w:line="240" w:lineRule="exact"/>
              <w:jc w:val="left"/>
              <w:rPr>
                <w:szCs w:val="21"/>
              </w:rPr>
            </w:pPr>
            <w:r>
              <w:rPr>
                <w:rFonts w:ascii="仿宋_GB2312" w:hAnsi="新宋体" w:eastAsia="仿宋_GB2312" w:cs="仿宋_GB2312"/>
                <w:kern w:val="0"/>
                <w:szCs w:val="21"/>
              </w:rPr>
              <w:t>评价要点：</w:t>
            </w:r>
          </w:p>
          <w:p>
            <w:pPr>
              <w:widowControl/>
              <w:spacing w:line="240" w:lineRule="exact"/>
              <w:jc w:val="left"/>
              <w:rPr>
                <w:szCs w:val="21"/>
              </w:rPr>
            </w:pPr>
            <w:r>
              <w:rPr>
                <w:rFonts w:ascii="仿宋_GB2312" w:hAnsi="新宋体" w:eastAsia="仿宋_GB2312" w:cs="仿宋_GB2312"/>
                <w:kern w:val="0"/>
                <w:szCs w:val="21"/>
              </w:rPr>
              <w:t>1.资产保存完整；</w:t>
            </w:r>
          </w:p>
          <w:p>
            <w:pPr>
              <w:widowControl/>
              <w:spacing w:line="240" w:lineRule="exact"/>
              <w:jc w:val="left"/>
              <w:rPr>
                <w:szCs w:val="21"/>
              </w:rPr>
            </w:pPr>
            <w:r>
              <w:rPr>
                <w:rFonts w:ascii="仿宋_GB2312" w:hAnsi="新宋体" w:eastAsia="仿宋_GB2312" w:cs="仿宋_GB2312"/>
                <w:kern w:val="0"/>
                <w:szCs w:val="21"/>
              </w:rPr>
              <w:t>2.资产账务管理是否合规，帐实相符；</w:t>
            </w:r>
          </w:p>
          <w:p>
            <w:pPr>
              <w:widowControl/>
              <w:spacing w:line="240" w:lineRule="exact"/>
              <w:jc w:val="left"/>
              <w:rPr>
                <w:szCs w:val="21"/>
              </w:rPr>
            </w:pPr>
            <w:r>
              <w:rPr>
                <w:rFonts w:ascii="仿宋_GB2312" w:hAnsi="新宋体" w:eastAsia="仿宋_GB2312" w:cs="仿宋_GB2312"/>
                <w:kern w:val="0"/>
                <w:szCs w:val="21"/>
              </w:rPr>
              <w:t>3.资产有偿使用及处置收入及时足额上缴。</w:t>
            </w:r>
          </w:p>
        </w:tc>
        <w:tc>
          <w:tcPr>
            <w:tcW w:w="2373" w:type="dxa"/>
            <w:tcBorders>
              <w:top w:val="single" w:color="auto"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符合全部三项（3）；</w:t>
            </w:r>
          </w:p>
          <w:p>
            <w:pPr>
              <w:widowControl/>
              <w:spacing w:line="240" w:lineRule="exact"/>
              <w:jc w:val="left"/>
              <w:rPr>
                <w:szCs w:val="21"/>
              </w:rPr>
            </w:pPr>
            <w:r>
              <w:rPr>
                <w:rFonts w:ascii="仿宋_GB2312" w:hAnsi="新宋体" w:eastAsia="仿宋_GB2312" w:cs="仿宋_GB2312"/>
                <w:kern w:val="0"/>
                <w:szCs w:val="21"/>
              </w:rPr>
              <w:t>符合其中两项（2）；</w:t>
            </w:r>
          </w:p>
          <w:p>
            <w:pPr>
              <w:widowControl/>
              <w:spacing w:line="240" w:lineRule="exact"/>
              <w:jc w:val="left"/>
              <w:rPr>
                <w:szCs w:val="21"/>
              </w:rPr>
            </w:pPr>
            <w:r>
              <w:rPr>
                <w:rFonts w:ascii="仿宋_GB2312" w:hAnsi="新宋体" w:eastAsia="仿宋_GB2312" w:cs="仿宋_GB2312"/>
                <w:kern w:val="0"/>
                <w:szCs w:val="21"/>
              </w:rPr>
              <w:t>符合其中一项（1）；</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符合零项（0）。</w:t>
            </w:r>
          </w:p>
        </w:tc>
        <w:tc>
          <w:tcPr>
            <w:tcW w:w="764" w:type="dxa"/>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auto"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固定资产利用率（</w:t>
            </w:r>
            <w:r>
              <w:rPr>
                <w:rFonts w:hint="eastAsia" w:ascii="仿宋_GB2312" w:hAnsi="新宋体" w:eastAsia="仿宋_GB2312" w:cs="仿宋_GB2312"/>
                <w:kern w:val="0"/>
                <w:szCs w:val="21"/>
              </w:rPr>
              <w:t>3分</w:t>
            </w:r>
            <w:r>
              <w:rPr>
                <w:rFonts w:ascii="仿宋_GB2312" w:hAnsi="新宋体" w:eastAsia="仿宋_GB2312" w:cs="仿宋_GB2312"/>
                <w:kern w:val="0"/>
                <w:szCs w:val="21"/>
              </w:rPr>
              <w:t>）</w:t>
            </w:r>
          </w:p>
        </w:tc>
        <w:tc>
          <w:tcPr>
            <w:tcW w:w="3436" w:type="dxa"/>
            <w:tcBorders>
              <w:top w:val="single" w:color="auto"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部门实际在用固定资产总额与所有固定资产总额的比率，用以反映和评价部门固定资产使用效率。</w:t>
            </w:r>
          </w:p>
          <w:p>
            <w:pPr>
              <w:widowControl/>
              <w:spacing w:line="240" w:lineRule="exact"/>
              <w:jc w:val="left"/>
              <w:rPr>
                <w:szCs w:val="21"/>
              </w:rPr>
            </w:pPr>
            <w:r>
              <w:rPr>
                <w:rFonts w:ascii="仿宋_GB2312" w:hAnsi="新宋体" w:eastAsia="仿宋_GB2312" w:cs="仿宋_GB2312"/>
                <w:kern w:val="0"/>
                <w:szCs w:val="21"/>
              </w:rPr>
              <w:t>固定资产利用率=（实际在用固定资产总额/所有固定资产总额）×100%。</w:t>
            </w:r>
          </w:p>
        </w:tc>
        <w:tc>
          <w:tcPr>
            <w:tcW w:w="2373" w:type="dxa"/>
            <w:tcBorders>
              <w:top w:val="single" w:color="auto"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1.固定资产利用率大于或等于95%的，得满分；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2.固定资产利用率小于或等于85%的，得0分；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3.固定资产利用率在85%-95%之间的，在0和满分之间计算确定：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得分=［某部门固定资产利用率-min（固定资产利用率）］/［max（固定资产利用率）-min（固定资产利用率）］×该指标分值。</w:t>
            </w:r>
          </w:p>
        </w:tc>
        <w:tc>
          <w:tcPr>
            <w:tcW w:w="764" w:type="dxa"/>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rPr>
              <w:t>产出(2</w:t>
            </w:r>
            <w:r>
              <w:rPr>
                <w:rFonts w:hint="eastAsia" w:ascii="仿宋_GB2312" w:hAnsi="新宋体" w:eastAsia="仿宋_GB2312" w:cs="仿宋_GB2312"/>
                <w:kern w:val="0"/>
                <w:szCs w:val="21"/>
              </w:rPr>
              <w:t>5分</w:t>
            </w:r>
            <w:r>
              <w:rPr>
                <w:rFonts w:ascii="仿宋_GB2312" w:hAnsi="新宋体" w:eastAsia="仿宋_GB2312" w:cs="仿宋_GB2312"/>
                <w:kern w:val="0"/>
                <w:szCs w:val="21"/>
              </w:rPr>
              <w:t>)</w:t>
            </w:r>
          </w:p>
        </w:tc>
        <w:tc>
          <w:tcPr>
            <w:tcW w:w="74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rPr>
              <w:t>职责履行</w:t>
            </w:r>
            <w:r>
              <w:rPr>
                <w:rFonts w:hint="eastAsia" w:ascii="仿宋_GB2312" w:hAnsi="新宋体" w:eastAsia="仿宋_GB2312" w:cs="仿宋_GB2312"/>
                <w:kern w:val="0"/>
                <w:szCs w:val="21"/>
              </w:rPr>
              <w:t>情况</w:t>
            </w:r>
            <w:r>
              <w:rPr>
                <w:rFonts w:ascii="仿宋_GB2312" w:hAnsi="新宋体" w:eastAsia="仿宋_GB2312" w:cs="仿宋_GB2312"/>
                <w:kern w:val="0"/>
                <w:szCs w:val="21"/>
              </w:rPr>
              <w:t>（2</w:t>
            </w:r>
            <w:r>
              <w:rPr>
                <w:rFonts w:hint="eastAsia" w:ascii="仿宋_GB2312" w:hAnsi="新宋体" w:eastAsia="仿宋_GB2312" w:cs="仿宋_GB2312"/>
                <w:kern w:val="0"/>
                <w:szCs w:val="21"/>
              </w:rPr>
              <w:t>5</w:t>
            </w:r>
            <w:r>
              <w:rPr>
                <w:rFonts w:ascii="仿宋_GB2312" w:hAnsi="新宋体" w:eastAsia="仿宋_GB2312" w:cs="仿宋_GB2312"/>
                <w:kern w:val="0"/>
                <w:szCs w:val="21"/>
              </w:rPr>
              <w:t>）</w:t>
            </w:r>
          </w:p>
        </w:tc>
        <w:tc>
          <w:tcPr>
            <w:tcW w:w="1275" w:type="dxa"/>
            <w:tcBorders>
              <w:top w:val="single" w:color="000000" w:sz="4" w:space="0"/>
              <w:left w:val="single" w:color="000000" w:sz="4" w:space="0"/>
              <w:bottom w:val="single" w:color="auto" w:sz="4" w:space="0"/>
              <w:right w:val="single" w:color="auto" w:sz="4" w:space="0"/>
            </w:tcBorders>
            <w:vAlign w:val="center"/>
          </w:tcPr>
          <w:p>
            <w:pPr>
              <w:widowControl/>
              <w:spacing w:line="240" w:lineRule="exact"/>
              <w:jc w:val="left"/>
              <w:rPr>
                <w:szCs w:val="21"/>
              </w:rPr>
            </w:pPr>
            <w:r>
              <w:rPr>
                <w:rFonts w:hint="eastAsia" w:ascii="仿宋_GB2312" w:hAnsi="新宋体" w:eastAsia="仿宋_GB2312" w:cs="仿宋_GB2312"/>
                <w:kern w:val="0"/>
                <w:szCs w:val="21"/>
              </w:rPr>
              <w:t>履职完成情况</w:t>
            </w:r>
            <w:r>
              <w:rPr>
                <w:rFonts w:ascii="仿宋_GB2312" w:hAnsi="新宋体" w:eastAsia="仿宋_GB2312" w:cs="仿宋_GB2312"/>
                <w:kern w:val="0"/>
                <w:szCs w:val="21"/>
              </w:rPr>
              <w:t>（</w:t>
            </w:r>
            <w:r>
              <w:rPr>
                <w:rFonts w:hint="eastAsia" w:ascii="仿宋_GB2312" w:hAnsi="新宋体" w:eastAsia="仿宋_GB2312" w:cs="仿宋_GB2312"/>
                <w:kern w:val="0"/>
                <w:szCs w:val="21"/>
              </w:rPr>
              <w:t>10分</w:t>
            </w:r>
            <w:r>
              <w:rPr>
                <w:rFonts w:ascii="仿宋_GB2312" w:hAnsi="新宋体" w:eastAsia="仿宋_GB2312" w:cs="仿宋_GB2312"/>
                <w:kern w:val="0"/>
                <w:szCs w:val="21"/>
              </w:rPr>
              <w:t>）</w:t>
            </w:r>
          </w:p>
        </w:tc>
        <w:tc>
          <w:tcPr>
            <w:tcW w:w="3436"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textAlignment w:val="center"/>
              <w:rPr>
                <w:szCs w:val="21"/>
              </w:rPr>
            </w:pPr>
            <w:r>
              <w:rPr>
                <w:rFonts w:hint="eastAsia" w:ascii="仿宋" w:hAnsi="仿宋" w:eastAsia="仿宋" w:cs="仿宋"/>
                <w:color w:val="000000"/>
                <w:kern w:val="0"/>
                <w:szCs w:val="21"/>
              </w:rPr>
              <w:t>根据年度主要任务分解表的的具体任务，逐项评价任务量化指标完成情况、实施效果和责任制建立情况。用以反映和考核部门（单位）履职工作任务目标的完成情况。评价要点：</w:t>
            </w:r>
            <w:r>
              <w:rPr>
                <w:rFonts w:hint="eastAsia" w:ascii="仿宋" w:hAnsi="仿宋" w:eastAsia="仿宋" w:cs="仿宋"/>
                <w:color w:val="000000"/>
                <w:kern w:val="0"/>
                <w:szCs w:val="21"/>
              </w:rPr>
              <w:br w:type="textWrapping"/>
            </w:r>
            <w:r>
              <w:rPr>
                <w:rFonts w:hint="eastAsia" w:ascii="仿宋" w:hAnsi="仿宋" w:eastAsia="仿宋" w:cs="仿宋"/>
                <w:color w:val="000000"/>
                <w:kern w:val="0"/>
                <w:szCs w:val="21"/>
              </w:rPr>
              <w:t xml:space="preserve">1.每项任务是否已制定了明确、具体、可量化、可衡量的绩效指标；           </w:t>
            </w:r>
            <w:r>
              <w:rPr>
                <w:rFonts w:hint="eastAsia" w:ascii="仿宋" w:hAnsi="仿宋" w:eastAsia="仿宋" w:cs="仿宋"/>
                <w:color w:val="000000"/>
                <w:kern w:val="0"/>
                <w:szCs w:val="21"/>
              </w:rPr>
              <w:br w:type="textWrapping"/>
            </w:r>
            <w:r>
              <w:rPr>
                <w:rFonts w:hint="eastAsia" w:ascii="仿宋" w:hAnsi="仿宋" w:eastAsia="仿宋" w:cs="仿宋"/>
                <w:color w:val="000000"/>
                <w:kern w:val="0"/>
                <w:szCs w:val="21"/>
              </w:rPr>
              <w:t>2.每项任务绩效指标的完成情况，是全部完成、基本完成、未完成，还是未实施；</w:t>
            </w:r>
            <w:r>
              <w:rPr>
                <w:rFonts w:hint="eastAsia" w:ascii="仿宋" w:hAnsi="仿宋" w:eastAsia="仿宋" w:cs="仿宋"/>
                <w:color w:val="000000"/>
                <w:kern w:val="0"/>
                <w:szCs w:val="21"/>
              </w:rPr>
              <w:br w:type="textWrapping"/>
            </w:r>
            <w:r>
              <w:rPr>
                <w:rFonts w:hint="eastAsia" w:ascii="仿宋" w:hAnsi="仿宋" w:eastAsia="仿宋" w:cs="仿宋"/>
                <w:color w:val="000000"/>
                <w:kern w:val="0"/>
                <w:szCs w:val="21"/>
              </w:rPr>
              <w:t>3.每项任务实施效果情况，是优秀、良好、一般，还是无效果；</w:t>
            </w:r>
            <w:r>
              <w:rPr>
                <w:rFonts w:hint="eastAsia" w:ascii="仿宋" w:hAnsi="仿宋" w:eastAsia="仿宋" w:cs="仿宋"/>
                <w:color w:val="000000"/>
                <w:kern w:val="0"/>
                <w:szCs w:val="21"/>
              </w:rPr>
              <w:br w:type="textWrapping"/>
            </w:r>
            <w:r>
              <w:rPr>
                <w:rFonts w:hint="eastAsia" w:ascii="仿宋" w:hAnsi="仿宋" w:eastAsia="仿宋" w:cs="仿宋"/>
                <w:color w:val="000000"/>
                <w:kern w:val="0"/>
                <w:szCs w:val="21"/>
              </w:rPr>
              <w:t>4.每项任务是否建立了目标责任制，是否落实到具体部门和人员负责。</w:t>
            </w:r>
          </w:p>
        </w:tc>
        <w:tc>
          <w:tcPr>
            <w:tcW w:w="2373"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textAlignment w:val="center"/>
              <w:rPr>
                <w:szCs w:val="21"/>
              </w:rPr>
            </w:pPr>
            <w:r>
              <w:rPr>
                <w:rFonts w:hint="eastAsia" w:ascii="仿宋" w:hAnsi="仿宋" w:eastAsia="仿宋" w:cs="仿宋"/>
                <w:color w:val="000000"/>
                <w:kern w:val="0"/>
                <w:szCs w:val="21"/>
              </w:rPr>
              <w:t>根据不同部门履职的内容和特点，具体测算部门履职工作任务目标的完成情况。</w:t>
            </w:r>
          </w:p>
        </w:tc>
        <w:tc>
          <w:tcPr>
            <w:tcW w:w="764" w:type="dxa"/>
            <w:tcBorders>
              <w:top w:val="single" w:color="000000" w:sz="4" w:space="0"/>
              <w:left w:val="single" w:color="auto" w:sz="4" w:space="0"/>
              <w:bottom w:val="single" w:color="auto" w:sz="4" w:space="0"/>
              <w:right w:val="single" w:color="000000" w:sz="4" w:space="0"/>
            </w:tcBorders>
            <w:vAlign w:val="center"/>
          </w:tcPr>
          <w:p>
            <w:pPr>
              <w:widowControl/>
              <w:spacing w:line="240" w:lineRule="exact"/>
              <w:jc w:val="left"/>
              <w:rPr>
                <w:rFonts w:hint="default" w:eastAsiaTheme="minorEastAsia"/>
                <w:szCs w:val="21"/>
                <w:lang w:val="en-US" w:eastAsia="zh-CN"/>
              </w:rPr>
            </w:pPr>
            <w:r>
              <w:rPr>
                <w:rFonts w:hint="eastAsia"/>
                <w:szCs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90"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rPr>
              <w:t>项目</w:t>
            </w:r>
            <w:r>
              <w:rPr>
                <w:rFonts w:hint="eastAsia" w:ascii="仿宋_GB2312" w:hAnsi="新宋体" w:eastAsia="仿宋_GB2312" w:cs="仿宋_GB2312"/>
                <w:kern w:val="0"/>
                <w:szCs w:val="21"/>
              </w:rPr>
              <w:t>完成</w:t>
            </w:r>
            <w:r>
              <w:rPr>
                <w:rFonts w:ascii="仿宋_GB2312" w:hAnsi="新宋体" w:eastAsia="仿宋_GB2312" w:cs="仿宋_GB2312"/>
                <w:kern w:val="0"/>
                <w:szCs w:val="21"/>
              </w:rPr>
              <w:t>质量达标率（</w:t>
            </w:r>
            <w:r>
              <w:rPr>
                <w:rFonts w:hint="eastAsia" w:ascii="仿宋_GB2312" w:hAnsi="新宋体" w:eastAsia="仿宋_GB2312" w:cs="仿宋_GB2312"/>
                <w:kern w:val="0"/>
                <w:szCs w:val="21"/>
              </w:rPr>
              <w:t>15</w:t>
            </w:r>
            <w:r>
              <w:rPr>
                <w:rFonts w:ascii="仿宋_GB2312" w:hAnsi="新宋体" w:eastAsia="仿宋_GB2312" w:cs="仿宋_GB2312"/>
                <w:kern w:val="0"/>
                <w:szCs w:val="21"/>
              </w:rPr>
              <w:t>）</w:t>
            </w:r>
          </w:p>
        </w:tc>
        <w:tc>
          <w:tcPr>
            <w:tcW w:w="3436" w:type="dxa"/>
            <w:tcBorders>
              <w:top w:val="single" w:color="000000" w:sz="4" w:space="0"/>
              <w:left w:val="single" w:color="auto"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部门已完成项目中质量达标项目个数占已完成项目个数的比率,用以反映和评价部门履职质量目标的实现程度。</w:t>
            </w:r>
          </w:p>
          <w:p>
            <w:pPr>
              <w:widowControl/>
              <w:spacing w:line="240" w:lineRule="exact"/>
              <w:jc w:val="left"/>
              <w:rPr>
                <w:szCs w:val="21"/>
              </w:rPr>
            </w:pPr>
            <w:r>
              <w:rPr>
                <w:rFonts w:ascii="仿宋_GB2312" w:hAnsi="新宋体" w:eastAsia="仿宋_GB2312" w:cs="仿宋_GB2312"/>
                <w:kern w:val="0"/>
                <w:szCs w:val="21"/>
              </w:rPr>
              <w:t>项目质量达标率=（已完成项目中质量达标项目个数/已完成项目个数）×100%。</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项目质量达标是指项目决算验收合格。</w:t>
            </w:r>
          </w:p>
        </w:tc>
        <w:tc>
          <w:tcPr>
            <w:tcW w:w="2373" w:type="dxa"/>
            <w:tcBorders>
              <w:top w:val="single" w:color="000000" w:sz="4" w:space="0"/>
              <w:left w:val="single" w:color="auto"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1.项目质量达标率等于100%的，得满分；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2.项目质量达标率小于或等于99%的，得0分；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 xml:space="preserve">3.项目质量达标率在99%-100%之间的，在0和满分之间计算确定： </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rPr>
              <w:t>得分=［某部门项目质量达标率-min（项目质量达标率）］/［max（项目质量达标率）-min（项目质量达标率）］×该指标分值。</w:t>
            </w:r>
          </w:p>
        </w:tc>
        <w:tc>
          <w:tcPr>
            <w:tcW w:w="764" w:type="dxa"/>
            <w:tcBorders>
              <w:top w:val="single" w:color="000000" w:sz="4" w:space="0"/>
              <w:left w:val="single" w:color="auto" w:sz="4" w:space="0"/>
              <w:bottom w:val="single" w:color="auto" w:sz="4" w:space="0"/>
              <w:right w:val="single" w:color="000000" w:sz="4" w:space="0"/>
            </w:tcBorders>
            <w:vAlign w:val="center"/>
          </w:tcPr>
          <w:p>
            <w:pPr>
              <w:widowControl/>
              <w:spacing w:line="240" w:lineRule="exact"/>
              <w:jc w:val="left"/>
              <w:rPr>
                <w:rFonts w:hint="default" w:eastAsiaTheme="minorEastAsia"/>
                <w:szCs w:val="21"/>
                <w:lang w:val="en-US" w:eastAsia="zh-CN"/>
              </w:rPr>
            </w:pPr>
            <w:r>
              <w:rPr>
                <w:rFonts w:hint="eastAsia"/>
                <w:szCs w:val="21"/>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rPr>
              <w:t>效果（</w:t>
            </w:r>
            <w:r>
              <w:rPr>
                <w:rFonts w:hint="eastAsia" w:ascii="仿宋_GB2312" w:hAnsi="新宋体" w:eastAsia="仿宋_GB2312" w:cs="仿宋_GB2312"/>
                <w:kern w:val="0"/>
                <w:szCs w:val="21"/>
              </w:rPr>
              <w:t>2</w:t>
            </w:r>
            <w:r>
              <w:rPr>
                <w:rFonts w:ascii="仿宋_GB2312" w:hAnsi="新宋体" w:eastAsia="仿宋_GB2312" w:cs="仿宋_GB2312"/>
                <w:kern w:val="0"/>
                <w:szCs w:val="21"/>
              </w:rPr>
              <w:t>0</w:t>
            </w:r>
            <w:r>
              <w:rPr>
                <w:rFonts w:hint="eastAsia" w:ascii="仿宋_GB2312" w:hAnsi="新宋体" w:eastAsia="仿宋_GB2312" w:cs="仿宋_GB2312"/>
                <w:kern w:val="0"/>
                <w:szCs w:val="21"/>
              </w:rPr>
              <w:t>分</w:t>
            </w:r>
            <w:r>
              <w:rPr>
                <w:rFonts w:ascii="仿宋_GB2312" w:hAnsi="新宋体" w:eastAsia="仿宋_GB2312" w:cs="仿宋_GB2312"/>
                <w:kern w:val="0"/>
                <w:szCs w:val="21"/>
              </w:rPr>
              <w:t>）</w:t>
            </w:r>
          </w:p>
        </w:tc>
        <w:tc>
          <w:tcPr>
            <w:tcW w:w="743" w:type="dxa"/>
            <w:vMerge w:val="restart"/>
            <w:tcBorders>
              <w:top w:val="single" w:color="auto" w:sz="4" w:space="0"/>
              <w:left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rPr>
            </w:pPr>
          </w:p>
          <w:p>
            <w:pPr>
              <w:widowControl/>
              <w:spacing w:line="240" w:lineRule="exact"/>
              <w:jc w:val="left"/>
              <w:rPr>
                <w:rFonts w:ascii="仿宋_GB2312" w:hAnsi="新宋体" w:eastAsia="仿宋_GB2312" w:cs="仿宋_GB2312"/>
                <w:kern w:val="0"/>
                <w:szCs w:val="21"/>
              </w:rPr>
            </w:pPr>
            <w:r>
              <w:rPr>
                <w:rFonts w:hint="eastAsia" w:ascii="仿宋_GB2312" w:hAnsi="新宋体" w:eastAsia="仿宋_GB2312" w:cs="仿宋_GB2312"/>
                <w:kern w:val="0"/>
                <w:szCs w:val="21"/>
              </w:rPr>
              <w:t>履职效益情况</w:t>
            </w:r>
          </w:p>
          <w:p>
            <w:pPr>
              <w:widowControl/>
              <w:spacing w:line="240" w:lineRule="exact"/>
              <w:jc w:val="left"/>
              <w:rPr>
                <w:rFonts w:ascii="仿宋_GB2312" w:hAnsi="新宋体" w:eastAsia="仿宋_GB2312" w:cs="仿宋_GB2312"/>
                <w:kern w:val="0"/>
                <w:szCs w:val="21"/>
              </w:rPr>
            </w:pPr>
            <w:r>
              <w:rPr>
                <w:rFonts w:ascii="仿宋_GB2312" w:hAnsi="新宋体" w:eastAsia="仿宋_GB2312" w:cs="仿宋_GB2312"/>
                <w:kern w:val="0"/>
                <w:szCs w:val="21"/>
              </w:rPr>
              <w:t>（</w:t>
            </w:r>
            <w:r>
              <w:rPr>
                <w:rFonts w:hint="eastAsia" w:ascii="仿宋_GB2312" w:hAnsi="新宋体" w:eastAsia="仿宋_GB2312" w:cs="仿宋_GB2312"/>
                <w:kern w:val="0"/>
                <w:szCs w:val="21"/>
              </w:rPr>
              <w:t>2</w:t>
            </w:r>
            <w:r>
              <w:rPr>
                <w:rFonts w:ascii="仿宋_GB2312" w:hAnsi="新宋体" w:eastAsia="仿宋_GB2312" w:cs="仿宋_GB2312"/>
                <w:kern w:val="0"/>
                <w:szCs w:val="21"/>
              </w:rPr>
              <w:t>0</w:t>
            </w:r>
            <w:r>
              <w:rPr>
                <w:rFonts w:hint="eastAsia" w:ascii="仿宋_GB2312" w:hAnsi="新宋体" w:eastAsia="仿宋_GB2312" w:cs="仿宋_GB2312"/>
                <w:kern w:val="0"/>
                <w:szCs w:val="21"/>
              </w:rPr>
              <w:t>分</w:t>
            </w:r>
            <w:r>
              <w:rPr>
                <w:rFonts w:ascii="仿宋_GB2312" w:hAnsi="新宋体" w:eastAsia="仿宋_GB2312" w:cs="仿宋_GB2312"/>
                <w:kern w:val="0"/>
                <w:szCs w:val="21"/>
              </w:rPr>
              <w:t>）</w:t>
            </w: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hint="eastAsia" w:ascii="仿宋_GB2312" w:hAnsi="新宋体" w:eastAsia="仿宋_GB2312" w:cs="仿宋_GB2312"/>
                <w:color w:val="000000"/>
                <w:kern w:val="0"/>
                <w:szCs w:val="21"/>
              </w:rPr>
              <w:t>经济效益</w:t>
            </w:r>
            <w:r>
              <w:rPr>
                <w:rFonts w:ascii="仿宋_GB2312" w:hAnsi="新宋体" w:eastAsia="仿宋_GB2312" w:cs="仿宋_GB2312"/>
                <w:kern w:val="0"/>
                <w:szCs w:val="21"/>
              </w:rPr>
              <w:t>（5</w:t>
            </w:r>
            <w:r>
              <w:rPr>
                <w:rFonts w:hint="eastAsia" w:ascii="仿宋_GB2312" w:hAnsi="新宋体" w:eastAsia="仿宋_GB2312" w:cs="仿宋_GB2312"/>
                <w:kern w:val="0"/>
                <w:szCs w:val="21"/>
              </w:rPr>
              <w:t>分</w:t>
            </w:r>
            <w:r>
              <w:rPr>
                <w:rFonts w:ascii="仿宋_GB2312" w:hAnsi="新宋体" w:eastAsia="仿宋_GB2312" w:cs="仿宋_GB2312"/>
                <w:kern w:val="0"/>
                <w:szCs w:val="21"/>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textAlignment w:val="center"/>
              <w:rPr>
                <w:rFonts w:ascii="仿宋" w:hAnsi="仿宋" w:eastAsia="仿宋" w:cs="仿宋"/>
                <w:color w:val="000000"/>
                <w:kern w:val="0"/>
                <w:szCs w:val="21"/>
              </w:rPr>
            </w:pPr>
            <w:r>
              <w:rPr>
                <w:rFonts w:hint="eastAsia" w:ascii="仿宋" w:hAnsi="仿宋" w:eastAsia="仿宋" w:cs="仿宋"/>
                <w:color w:val="000000"/>
                <w:kern w:val="0"/>
                <w:szCs w:val="21"/>
              </w:rPr>
              <w:t>部门及所属二级单位通过履行职责和预算安排支出项目的实施，对我市带来的经济影响。</w:t>
            </w:r>
          </w:p>
          <w:p>
            <w:pPr>
              <w:widowControl/>
              <w:spacing w:line="240" w:lineRule="exact"/>
              <w:jc w:val="left"/>
              <w:textAlignment w:val="center"/>
              <w:rPr>
                <w:rFonts w:ascii="仿宋" w:hAnsi="仿宋" w:eastAsia="仿宋" w:cs="仿宋"/>
                <w:szCs w:val="21"/>
              </w:rPr>
            </w:pPr>
            <w:r>
              <w:rPr>
                <w:rFonts w:hint="eastAsia" w:ascii="仿宋" w:hAnsi="仿宋" w:eastAsia="仿宋" w:cs="仿宋"/>
                <w:color w:val="000000"/>
                <w:kern w:val="0"/>
                <w:szCs w:val="21"/>
              </w:rPr>
              <w:t>评价要点：</w:t>
            </w:r>
            <w:r>
              <w:rPr>
                <w:rFonts w:hint="eastAsia" w:ascii="仿宋" w:hAnsi="仿宋" w:eastAsia="仿宋" w:cs="仿宋"/>
                <w:color w:val="000000"/>
                <w:kern w:val="0"/>
                <w:szCs w:val="21"/>
              </w:rPr>
              <w:br w:type="textWrapping"/>
            </w:r>
            <w:r>
              <w:rPr>
                <w:rFonts w:hint="eastAsia" w:ascii="仿宋" w:hAnsi="仿宋" w:eastAsia="仿宋" w:cs="仿宋"/>
                <w:color w:val="000000"/>
                <w:kern w:val="0"/>
                <w:szCs w:val="21"/>
              </w:rPr>
              <w:t xml:space="preserve">1.通过部门所属企事业单位改革，促进了企事业单位效益增长情况；          </w:t>
            </w:r>
            <w:r>
              <w:rPr>
                <w:rFonts w:hint="eastAsia" w:ascii="仿宋" w:hAnsi="仿宋" w:eastAsia="仿宋" w:cs="仿宋"/>
                <w:color w:val="000000"/>
                <w:kern w:val="0"/>
                <w:szCs w:val="21"/>
              </w:rPr>
              <w:br w:type="textWrapping"/>
            </w:r>
            <w:r>
              <w:rPr>
                <w:rFonts w:hint="eastAsia" w:ascii="仿宋" w:hAnsi="仿宋" w:eastAsia="仿宋" w:cs="仿宋"/>
                <w:color w:val="000000"/>
                <w:kern w:val="0"/>
                <w:szCs w:val="21"/>
              </w:rPr>
              <w:t>2.通过预算支出项目的实施，促进了行业生产能力增长，从而带动行业经济效益增长；</w:t>
            </w:r>
            <w:r>
              <w:rPr>
                <w:rFonts w:hint="eastAsia" w:ascii="仿宋" w:hAnsi="仿宋" w:eastAsia="仿宋" w:cs="仿宋"/>
                <w:color w:val="000000"/>
                <w:kern w:val="0"/>
                <w:szCs w:val="21"/>
              </w:rPr>
              <w:br w:type="textWrapping"/>
            </w:r>
            <w:r>
              <w:rPr>
                <w:rFonts w:hint="eastAsia" w:ascii="仿宋" w:hAnsi="仿宋" w:eastAsia="仿宋" w:cs="仿宋"/>
                <w:color w:val="000000"/>
                <w:kern w:val="0"/>
                <w:szCs w:val="21"/>
              </w:rPr>
              <w:t>3.通过预算支出项目的实施，有效提高劳动效率，节约成本费用；</w:t>
            </w:r>
            <w:r>
              <w:rPr>
                <w:rFonts w:hint="eastAsia" w:ascii="仿宋" w:hAnsi="仿宋" w:eastAsia="仿宋" w:cs="仿宋"/>
                <w:color w:val="000000"/>
                <w:kern w:val="0"/>
                <w:szCs w:val="21"/>
              </w:rPr>
              <w:br w:type="textWrapping"/>
            </w:r>
            <w:r>
              <w:rPr>
                <w:rFonts w:hint="eastAsia" w:ascii="仿宋" w:hAnsi="仿宋" w:eastAsia="仿宋" w:cs="仿宋"/>
                <w:color w:val="000000"/>
                <w:kern w:val="0"/>
                <w:szCs w:val="21"/>
              </w:rPr>
              <w:t>4.通过预算支出项目的实施，降低了损耗，从而提高了生产效益；</w:t>
            </w:r>
            <w:r>
              <w:rPr>
                <w:rFonts w:hint="eastAsia" w:ascii="仿宋" w:hAnsi="仿宋" w:eastAsia="仿宋" w:cs="仿宋"/>
                <w:color w:val="000000"/>
                <w:kern w:val="0"/>
                <w:szCs w:val="21"/>
              </w:rPr>
              <w:br w:type="textWrapping"/>
            </w:r>
            <w:r>
              <w:rPr>
                <w:rFonts w:hint="eastAsia" w:ascii="仿宋" w:hAnsi="仿宋" w:eastAsia="仿宋" w:cs="仿宋"/>
                <w:color w:val="000000"/>
                <w:kern w:val="0"/>
                <w:szCs w:val="21"/>
              </w:rPr>
              <w:t>5.通过预算支出项目的实施，完善了突发情况的监测预警，保障了生产安全，降低了生产损失。</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textAlignment w:val="center"/>
              <w:rPr>
                <w:rFonts w:ascii="仿宋" w:hAnsi="仿宋" w:eastAsia="仿宋" w:cs="仿宋"/>
                <w:szCs w:val="21"/>
              </w:rPr>
            </w:pPr>
            <w:r>
              <w:rPr>
                <w:rFonts w:hint="eastAsia" w:ascii="仿宋" w:hAnsi="仿宋" w:eastAsia="仿宋" w:cs="仿宋"/>
                <w:color w:val="000000"/>
                <w:kern w:val="0"/>
                <w:szCs w:val="21"/>
              </w:rPr>
              <w:t>根据不同部门履职的内容和特点，具体测算部门履职产生的经济效益。</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left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rPr>
            </w:pPr>
          </w:p>
        </w:tc>
        <w:tc>
          <w:tcPr>
            <w:tcW w:w="743" w:type="dxa"/>
            <w:vMerge w:val="continue"/>
            <w:tcBorders>
              <w:left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rPr>
                <w:rFonts w:ascii="仿宋_GB2312" w:hAnsi="新宋体" w:eastAsia="仿宋_GB2312" w:cs="仿宋_GB2312"/>
                <w:color w:val="000000"/>
                <w:kern w:val="0"/>
                <w:szCs w:val="21"/>
              </w:rPr>
            </w:pPr>
            <w:r>
              <w:rPr>
                <w:rFonts w:hint="eastAsia" w:ascii="仿宋_GB2312" w:hAnsi="新宋体" w:eastAsia="仿宋_GB2312" w:cs="仿宋_GB2312"/>
                <w:color w:val="000000"/>
                <w:kern w:val="0"/>
                <w:szCs w:val="21"/>
              </w:rPr>
              <w:t>社会效益（5分）</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textAlignment w:val="center"/>
              <w:rPr>
                <w:rFonts w:ascii="仿宋" w:hAnsi="仿宋" w:eastAsia="仿宋" w:cs="仿宋"/>
                <w:color w:val="000000"/>
                <w:kern w:val="0"/>
                <w:szCs w:val="21"/>
              </w:rPr>
            </w:pPr>
            <w:r>
              <w:rPr>
                <w:rFonts w:hint="eastAsia" w:ascii="仿宋" w:hAnsi="仿宋" w:eastAsia="仿宋" w:cs="仿宋"/>
                <w:color w:val="000000"/>
                <w:kern w:val="0"/>
                <w:szCs w:val="21"/>
              </w:rPr>
              <w:t>部门及所属二级单位履行职责对社会发展所带来的直接或间接影响。</w:t>
            </w:r>
          </w:p>
          <w:p>
            <w:pPr>
              <w:widowControl/>
              <w:spacing w:line="240" w:lineRule="exact"/>
              <w:textAlignment w:val="center"/>
              <w:rPr>
                <w:rFonts w:ascii="仿宋" w:hAnsi="仿宋" w:eastAsia="仿宋" w:cs="仿宋"/>
                <w:color w:val="000000"/>
                <w:kern w:val="0"/>
                <w:szCs w:val="21"/>
              </w:rPr>
            </w:pPr>
            <w:r>
              <w:rPr>
                <w:rFonts w:hint="eastAsia" w:ascii="仿宋" w:hAnsi="仿宋" w:eastAsia="仿宋" w:cs="仿宋"/>
                <w:color w:val="000000"/>
                <w:kern w:val="0"/>
                <w:szCs w:val="21"/>
              </w:rPr>
              <w:t>评价要点：</w:t>
            </w:r>
            <w:r>
              <w:rPr>
                <w:rFonts w:hint="eastAsia" w:ascii="仿宋" w:hAnsi="仿宋" w:eastAsia="仿宋" w:cs="仿宋"/>
                <w:color w:val="000000"/>
                <w:kern w:val="0"/>
                <w:szCs w:val="21"/>
              </w:rPr>
              <w:br w:type="textWrapping"/>
            </w:r>
            <w:r>
              <w:rPr>
                <w:rFonts w:hint="eastAsia" w:ascii="仿宋" w:hAnsi="仿宋" w:eastAsia="仿宋" w:cs="仿宋"/>
                <w:color w:val="000000"/>
                <w:kern w:val="0"/>
                <w:szCs w:val="21"/>
              </w:rPr>
              <w:t xml:space="preserve">1.通过部门所属企事业单位的改革，促进了企事业单位可持续发展，带动就业增长情况；          </w:t>
            </w:r>
            <w:r>
              <w:rPr>
                <w:rFonts w:hint="eastAsia" w:ascii="仿宋" w:hAnsi="仿宋" w:eastAsia="仿宋" w:cs="仿宋"/>
                <w:color w:val="000000"/>
                <w:kern w:val="0"/>
                <w:szCs w:val="21"/>
              </w:rPr>
              <w:br w:type="textWrapping"/>
            </w:r>
            <w:r>
              <w:rPr>
                <w:rFonts w:hint="eastAsia" w:ascii="仿宋" w:hAnsi="仿宋" w:eastAsia="仿宋" w:cs="仿宋"/>
                <w:color w:val="000000"/>
                <w:kern w:val="0"/>
                <w:szCs w:val="21"/>
              </w:rPr>
              <w:t>2.通过预算支出项目的实施，是否明显促进了行业精神文明建设；</w:t>
            </w:r>
            <w:r>
              <w:rPr>
                <w:rFonts w:hint="eastAsia" w:ascii="仿宋" w:hAnsi="仿宋" w:eastAsia="仿宋" w:cs="仿宋"/>
                <w:color w:val="000000"/>
                <w:kern w:val="0"/>
                <w:szCs w:val="21"/>
              </w:rPr>
              <w:br w:type="textWrapping"/>
            </w:r>
            <w:r>
              <w:rPr>
                <w:rFonts w:hint="eastAsia" w:ascii="仿宋" w:hAnsi="仿宋" w:eastAsia="仿宋" w:cs="仿宋"/>
                <w:color w:val="000000"/>
                <w:kern w:val="0"/>
                <w:szCs w:val="21"/>
              </w:rPr>
              <w:t>3.通过部门履职是否明显提高城乡居民生活水平，满足了人们日益增长的物质与文化生活需求；</w:t>
            </w:r>
            <w:r>
              <w:rPr>
                <w:rFonts w:hint="eastAsia" w:ascii="仿宋" w:hAnsi="仿宋" w:eastAsia="仿宋" w:cs="仿宋"/>
                <w:color w:val="000000"/>
                <w:kern w:val="0"/>
                <w:szCs w:val="21"/>
              </w:rPr>
              <w:br w:type="textWrapping"/>
            </w:r>
            <w:r>
              <w:rPr>
                <w:rFonts w:hint="eastAsia" w:ascii="仿宋" w:hAnsi="仿宋" w:eastAsia="仿宋" w:cs="仿宋"/>
                <w:color w:val="000000"/>
                <w:kern w:val="0"/>
                <w:szCs w:val="21"/>
              </w:rPr>
              <w:t>4.通过预算项目的实施，是否提高了劳动生产率，降低了劳动强度，促进了劳动人民的身心健康；</w:t>
            </w:r>
            <w:r>
              <w:rPr>
                <w:rFonts w:hint="eastAsia" w:ascii="仿宋" w:hAnsi="仿宋" w:eastAsia="仿宋" w:cs="仿宋"/>
                <w:color w:val="000000"/>
                <w:kern w:val="0"/>
                <w:szCs w:val="21"/>
              </w:rPr>
              <w:br w:type="textWrapping"/>
            </w:r>
            <w:r>
              <w:rPr>
                <w:rFonts w:hint="eastAsia" w:ascii="仿宋" w:hAnsi="仿宋" w:eastAsia="仿宋" w:cs="仿宋"/>
                <w:color w:val="000000"/>
                <w:kern w:val="0"/>
                <w:szCs w:val="21"/>
              </w:rPr>
              <w:t>5.通过部门履职行业形象是否得到了大大提升了，增强了部门影响力。</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textAlignment w:val="center"/>
              <w:rPr>
                <w:rFonts w:ascii="仿宋" w:hAnsi="仿宋" w:eastAsia="仿宋" w:cs="仿宋"/>
                <w:szCs w:val="21"/>
              </w:rPr>
            </w:pPr>
            <w:r>
              <w:rPr>
                <w:rFonts w:hint="eastAsia" w:ascii="仿宋" w:hAnsi="仿宋" w:eastAsia="仿宋" w:cs="仿宋"/>
                <w:color w:val="000000"/>
                <w:kern w:val="0"/>
                <w:szCs w:val="21"/>
              </w:rPr>
              <w:t>根据不同部门履职的内容和特点，具体测算部门履职产生的社会效益。</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left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rPr>
            </w:pPr>
          </w:p>
        </w:tc>
        <w:tc>
          <w:tcPr>
            <w:tcW w:w="743" w:type="dxa"/>
            <w:vMerge w:val="continue"/>
            <w:tcBorders>
              <w:left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rFonts w:ascii="仿宋_GB2312" w:hAnsi="新宋体" w:eastAsia="仿宋_GB2312" w:cs="仿宋_GB2312"/>
                <w:color w:val="000000"/>
                <w:kern w:val="0"/>
                <w:szCs w:val="21"/>
              </w:rPr>
            </w:pPr>
            <w:r>
              <w:rPr>
                <w:rFonts w:hint="eastAsia" w:ascii="仿宋_GB2312" w:hAnsi="新宋体" w:eastAsia="仿宋_GB2312" w:cs="仿宋_GB2312"/>
                <w:color w:val="000000"/>
                <w:kern w:val="0"/>
                <w:szCs w:val="21"/>
              </w:rPr>
              <w:t>生态效益（5分）</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textAlignment w:val="center"/>
              <w:rPr>
                <w:rFonts w:ascii="仿宋" w:hAnsi="仿宋" w:eastAsia="仿宋" w:cs="仿宋"/>
                <w:color w:val="000000"/>
                <w:kern w:val="0"/>
                <w:szCs w:val="21"/>
              </w:rPr>
            </w:pPr>
            <w:r>
              <w:rPr>
                <w:rFonts w:hint="eastAsia" w:ascii="仿宋" w:hAnsi="仿宋" w:eastAsia="仿宋" w:cs="仿宋"/>
                <w:color w:val="000000"/>
                <w:kern w:val="0"/>
                <w:szCs w:val="21"/>
              </w:rPr>
              <w:t>部门及所属二级单位履行职责对生态环境所带来的直接或间接影响。</w:t>
            </w:r>
          </w:p>
          <w:p>
            <w:pPr>
              <w:widowControl/>
              <w:spacing w:line="240" w:lineRule="exact"/>
              <w:jc w:val="left"/>
              <w:textAlignment w:val="center"/>
              <w:rPr>
                <w:rFonts w:ascii="仿宋" w:hAnsi="仿宋" w:eastAsia="仿宋" w:cs="仿宋"/>
                <w:color w:val="000000"/>
                <w:kern w:val="0"/>
                <w:szCs w:val="21"/>
              </w:rPr>
            </w:pPr>
            <w:r>
              <w:rPr>
                <w:rFonts w:hint="eastAsia" w:ascii="仿宋" w:hAnsi="仿宋" w:eastAsia="仿宋" w:cs="仿宋"/>
                <w:color w:val="000000"/>
                <w:kern w:val="0"/>
                <w:szCs w:val="21"/>
              </w:rPr>
              <w:t>评价要点：</w:t>
            </w:r>
            <w:r>
              <w:rPr>
                <w:rFonts w:hint="eastAsia" w:ascii="仿宋" w:hAnsi="仿宋" w:eastAsia="仿宋" w:cs="仿宋"/>
                <w:color w:val="000000"/>
                <w:kern w:val="0"/>
                <w:szCs w:val="21"/>
              </w:rPr>
              <w:br w:type="textWrapping"/>
            </w:r>
            <w:r>
              <w:rPr>
                <w:rFonts w:hint="eastAsia" w:ascii="仿宋" w:hAnsi="仿宋" w:eastAsia="仿宋" w:cs="仿宋"/>
                <w:color w:val="000000"/>
                <w:kern w:val="0"/>
                <w:szCs w:val="21"/>
              </w:rPr>
              <w:t>1.通过预算支出项目的实施，绿色、节能环保新技术的应用和推广，明显带动各环节的节能减排，也具有一定的环境效益；</w:t>
            </w:r>
            <w:r>
              <w:rPr>
                <w:rFonts w:hint="eastAsia" w:ascii="仿宋" w:hAnsi="仿宋" w:eastAsia="仿宋" w:cs="仿宋"/>
                <w:color w:val="000000"/>
                <w:kern w:val="0"/>
                <w:szCs w:val="21"/>
              </w:rPr>
              <w:br w:type="textWrapping"/>
            </w:r>
            <w:r>
              <w:rPr>
                <w:rFonts w:hint="eastAsia" w:ascii="仿宋" w:hAnsi="仿宋" w:eastAsia="仿宋" w:cs="仿宋"/>
                <w:color w:val="000000"/>
                <w:kern w:val="0"/>
                <w:szCs w:val="21"/>
              </w:rPr>
              <w:t>2.通过履职有效地控制虚假、伪劣、霉变等劣质产品进入市场，影响了人民生活质量，净化地市场环境；</w:t>
            </w:r>
            <w:r>
              <w:rPr>
                <w:rFonts w:hint="eastAsia" w:ascii="仿宋" w:hAnsi="仿宋" w:eastAsia="仿宋" w:cs="仿宋"/>
                <w:color w:val="000000"/>
                <w:kern w:val="0"/>
                <w:szCs w:val="21"/>
              </w:rPr>
              <w:br w:type="textWrapping"/>
            </w:r>
            <w:r>
              <w:rPr>
                <w:rFonts w:hint="eastAsia" w:ascii="仿宋" w:hAnsi="仿宋" w:eastAsia="仿宋" w:cs="仿宋"/>
                <w:color w:val="000000"/>
                <w:kern w:val="0"/>
                <w:szCs w:val="21"/>
              </w:rPr>
              <w:t>3.通过预算支出项目的实施，是否达到减少污染物排放；</w:t>
            </w:r>
            <w:r>
              <w:rPr>
                <w:rFonts w:hint="eastAsia" w:ascii="仿宋" w:hAnsi="仿宋" w:eastAsia="仿宋" w:cs="仿宋"/>
                <w:color w:val="000000"/>
                <w:kern w:val="0"/>
                <w:szCs w:val="21"/>
              </w:rPr>
              <w:br w:type="textWrapping"/>
            </w:r>
            <w:r>
              <w:rPr>
                <w:rFonts w:hint="eastAsia" w:ascii="仿宋" w:hAnsi="仿宋" w:eastAsia="仿宋" w:cs="仿宋"/>
                <w:color w:val="000000"/>
                <w:kern w:val="0"/>
                <w:szCs w:val="21"/>
              </w:rPr>
              <w:t>4.通过预算支出项目的实施，周围环境得到了整治，面貌得到了改善。</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textAlignment w:val="center"/>
              <w:rPr>
                <w:szCs w:val="21"/>
              </w:rPr>
            </w:pPr>
            <w:r>
              <w:rPr>
                <w:rFonts w:hint="eastAsia" w:ascii="仿宋" w:hAnsi="仿宋" w:eastAsia="仿宋" w:cs="仿宋"/>
                <w:color w:val="000000"/>
                <w:kern w:val="0"/>
                <w:szCs w:val="21"/>
              </w:rPr>
              <w:t>根据不同部门履职的内容和特点，具体测算部门履职产生的生态效益。</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left w:val="single" w:color="000000" w:sz="4" w:space="0"/>
              <w:bottom w:val="single" w:color="auto" w:sz="4" w:space="0"/>
              <w:right w:val="single" w:color="000000" w:sz="4" w:space="0"/>
            </w:tcBorders>
            <w:vAlign w:val="center"/>
          </w:tcPr>
          <w:p>
            <w:pPr>
              <w:widowControl/>
              <w:spacing w:line="240" w:lineRule="exact"/>
              <w:jc w:val="left"/>
              <w:rPr>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hint="eastAsia" w:ascii="仿宋_GB2312" w:hAnsi="新宋体" w:eastAsia="仿宋_GB2312" w:cs="仿宋_GB2312"/>
                <w:kern w:val="0"/>
                <w:szCs w:val="21"/>
              </w:rPr>
              <w:t>服务对象</w:t>
            </w:r>
            <w:r>
              <w:rPr>
                <w:rFonts w:ascii="仿宋_GB2312" w:hAnsi="新宋体" w:eastAsia="仿宋_GB2312" w:cs="仿宋_GB2312"/>
                <w:kern w:val="0"/>
                <w:szCs w:val="21"/>
              </w:rPr>
              <w:t>满意度（5）</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hint="eastAsia" w:ascii="仿宋_GB2312" w:hAnsi="新宋体" w:eastAsia="仿宋_GB2312" w:cs="仿宋_GB2312"/>
                <w:kern w:val="0"/>
                <w:szCs w:val="21"/>
              </w:rPr>
              <w:t>通过对部门（单位）的服务对象对部门履职效果的满意程度调查，反映和考核社会公众或服务对象对部门履职的满意度。</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rPr>
                <w:rFonts w:ascii="仿宋" w:hAnsi="仿宋" w:eastAsia="仿宋" w:cs="宋体"/>
                <w:kern w:val="0"/>
                <w:szCs w:val="21"/>
              </w:rPr>
            </w:pPr>
            <w:r>
              <w:rPr>
                <w:rFonts w:ascii="仿宋" w:hAnsi="仿宋" w:eastAsia="仿宋" w:cs="Arial"/>
                <w:kern w:val="0"/>
                <w:szCs w:val="21"/>
              </w:rPr>
              <w:t>按照满意度调查的优秀、良好、合格、不合格给予该项指标打分：</w:t>
            </w:r>
          </w:p>
          <w:p>
            <w:pPr>
              <w:widowControl/>
              <w:spacing w:line="240" w:lineRule="exact"/>
              <w:rPr>
                <w:szCs w:val="21"/>
              </w:rPr>
            </w:pPr>
            <w:r>
              <w:rPr>
                <w:rFonts w:ascii="仿宋" w:hAnsi="仿宋" w:eastAsia="仿宋" w:cs="Arial"/>
                <w:kern w:val="0"/>
                <w:szCs w:val="21"/>
              </w:rPr>
              <w:t>优秀（</w:t>
            </w:r>
            <w:r>
              <w:rPr>
                <w:rFonts w:hint="eastAsia" w:ascii="仿宋" w:hAnsi="仿宋" w:eastAsia="仿宋" w:cs="Arial"/>
                <w:kern w:val="0"/>
                <w:szCs w:val="21"/>
              </w:rPr>
              <w:t>5</w:t>
            </w:r>
            <w:r>
              <w:rPr>
                <w:rFonts w:ascii="仿宋" w:hAnsi="仿宋" w:eastAsia="仿宋" w:cs="Arial"/>
                <w:kern w:val="0"/>
                <w:szCs w:val="21"/>
              </w:rPr>
              <w:t>）；良好（</w:t>
            </w:r>
            <w:r>
              <w:rPr>
                <w:rFonts w:hint="eastAsia" w:ascii="仿宋" w:hAnsi="仿宋" w:eastAsia="仿宋" w:cs="Arial"/>
                <w:kern w:val="0"/>
                <w:szCs w:val="21"/>
              </w:rPr>
              <w:t>3</w:t>
            </w:r>
            <w:r>
              <w:rPr>
                <w:rFonts w:ascii="仿宋" w:hAnsi="仿宋" w:eastAsia="仿宋" w:cs="Arial"/>
                <w:kern w:val="0"/>
                <w:szCs w:val="21"/>
              </w:rPr>
              <w:t>）；合格（</w:t>
            </w:r>
            <w:r>
              <w:rPr>
                <w:rFonts w:hint="eastAsia" w:ascii="仿宋" w:hAnsi="仿宋" w:eastAsia="仿宋" w:cs="Arial"/>
                <w:kern w:val="0"/>
                <w:szCs w:val="21"/>
              </w:rPr>
              <w:t>1</w:t>
            </w:r>
            <w:r>
              <w:rPr>
                <w:rFonts w:ascii="仿宋" w:hAnsi="仿宋" w:eastAsia="仿宋" w:cs="Arial"/>
                <w:kern w:val="0"/>
                <w:szCs w:val="21"/>
              </w:rPr>
              <w:t>）；不合格（</w:t>
            </w:r>
            <w:r>
              <w:rPr>
                <w:rFonts w:hint="eastAsia" w:ascii="仿宋" w:hAnsi="仿宋" w:eastAsia="仿宋" w:cs="Arial"/>
                <w:kern w:val="0"/>
                <w:szCs w:val="21"/>
              </w:rPr>
              <w:t>0</w:t>
            </w:r>
            <w:r>
              <w:rPr>
                <w:rFonts w:ascii="仿宋" w:hAnsi="仿宋" w:eastAsia="仿宋" w:cs="Arial"/>
                <w:kern w:val="0"/>
                <w:szCs w:val="21"/>
              </w:rPr>
              <w:t>）。</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5</w:t>
            </w:r>
          </w:p>
        </w:tc>
      </w:tr>
    </w:tbl>
    <w:p>
      <w:pPr>
        <w:spacing w:line="240" w:lineRule="exact"/>
        <w:rPr>
          <w:rFonts w:ascii="仿宋" w:hAnsi="仿宋" w:eastAsia="仿宋" w:cs="仿宋"/>
          <w:sz w:val="32"/>
          <w:szCs w:val="32"/>
        </w:rPr>
      </w:pPr>
    </w:p>
    <w:p>
      <w:pPr>
        <w:spacing w:line="240" w:lineRule="exact"/>
        <w:rPr>
          <w:rFonts w:ascii="仿宋" w:hAnsi="仿宋" w:eastAsia="仿宋" w:cs="仿宋"/>
          <w:sz w:val="32"/>
          <w:szCs w:val="32"/>
        </w:rPr>
      </w:pPr>
    </w:p>
    <w:p>
      <w:pPr>
        <w:spacing w:line="240" w:lineRule="exact"/>
        <w:rPr>
          <w:rFonts w:ascii="仿宋" w:hAnsi="仿宋" w:eastAsia="仿宋" w:cs="仿宋"/>
          <w:sz w:val="32"/>
          <w:szCs w:val="32"/>
        </w:rPr>
      </w:pPr>
    </w:p>
    <w:p>
      <w:pPr>
        <w:spacing w:line="240" w:lineRule="exact"/>
        <w:rPr>
          <w:rFonts w:ascii="仿宋" w:hAnsi="仿宋" w:eastAsia="仿宋" w:cs="仿宋"/>
          <w:sz w:val="32"/>
          <w:szCs w:val="32"/>
        </w:rPr>
      </w:pPr>
    </w:p>
    <w:p>
      <w:pPr>
        <w:spacing w:line="240" w:lineRule="exact"/>
        <w:rPr>
          <w:rFonts w:ascii="仿宋" w:hAnsi="仿宋" w:eastAsia="仿宋" w:cs="仿宋"/>
          <w:sz w:val="32"/>
          <w:szCs w:val="32"/>
        </w:rPr>
      </w:pPr>
    </w:p>
    <w:p>
      <w:pPr>
        <w:spacing w:line="240" w:lineRule="exact"/>
        <w:rPr>
          <w:rFonts w:ascii="仿宋" w:hAnsi="仿宋" w:eastAsia="仿宋" w:cs="仿宋"/>
          <w:sz w:val="32"/>
          <w:szCs w:val="32"/>
        </w:rPr>
      </w:pPr>
    </w:p>
    <w:p>
      <w:pPr>
        <w:spacing w:line="240" w:lineRule="exact"/>
        <w:rPr>
          <w:rFonts w:ascii="仿宋" w:hAnsi="仿宋" w:eastAsia="仿宋" w:cs="仿宋"/>
          <w:sz w:val="32"/>
          <w:szCs w:val="32"/>
        </w:rPr>
      </w:pPr>
    </w:p>
    <w:p>
      <w:pPr>
        <w:spacing w:line="240" w:lineRule="exact"/>
        <w:rPr>
          <w:rFonts w:ascii="仿宋" w:hAnsi="仿宋" w:eastAsia="仿宋" w:cs="仿宋"/>
          <w:sz w:val="32"/>
          <w:szCs w:val="32"/>
        </w:rPr>
      </w:pPr>
    </w:p>
    <w:p>
      <w:pPr>
        <w:spacing w:line="240" w:lineRule="exact"/>
        <w:rPr>
          <w:rFonts w:ascii="仿宋" w:hAnsi="仿宋" w:eastAsia="仿宋" w:cs="仿宋"/>
          <w:sz w:val="32"/>
          <w:szCs w:val="32"/>
        </w:rPr>
      </w:pPr>
    </w:p>
    <w:p>
      <w:pPr>
        <w:spacing w:line="240" w:lineRule="exact"/>
        <w:rPr>
          <w:rFonts w:ascii="仿宋" w:hAnsi="仿宋" w:eastAsia="仿宋" w:cs="仿宋"/>
          <w:sz w:val="32"/>
          <w:szCs w:val="32"/>
        </w:rPr>
      </w:pPr>
    </w:p>
    <w:p>
      <w:pPr>
        <w:spacing w:line="240" w:lineRule="exact"/>
        <w:rPr>
          <w:rFonts w:ascii="仿宋" w:hAnsi="仿宋" w:eastAsia="仿宋" w:cs="仿宋"/>
          <w:sz w:val="32"/>
          <w:szCs w:val="32"/>
        </w:rPr>
      </w:pPr>
    </w:p>
    <w:p>
      <w:pPr>
        <w:spacing w:line="240" w:lineRule="exact"/>
        <w:rPr>
          <w:rFonts w:ascii="仿宋" w:hAnsi="仿宋" w:eastAsia="仿宋" w:cs="仿宋"/>
          <w:sz w:val="32"/>
          <w:szCs w:val="32"/>
        </w:rPr>
      </w:pPr>
    </w:p>
    <w:p>
      <w:pPr>
        <w:spacing w:line="240" w:lineRule="exact"/>
        <w:rPr>
          <w:rFonts w:ascii="仿宋" w:hAnsi="仿宋" w:eastAsia="仿宋" w:cs="仿宋"/>
          <w:sz w:val="32"/>
          <w:szCs w:val="32"/>
        </w:rPr>
      </w:pPr>
    </w:p>
    <w:p>
      <w:pPr>
        <w:spacing w:line="240" w:lineRule="exact"/>
        <w:rPr>
          <w:rFonts w:ascii="仿宋" w:hAnsi="仿宋" w:eastAsia="仿宋" w:cs="仿宋"/>
          <w:sz w:val="32"/>
          <w:szCs w:val="32"/>
        </w:rPr>
      </w:pPr>
    </w:p>
    <w:p>
      <w:pPr>
        <w:spacing w:line="240" w:lineRule="exact"/>
        <w:rPr>
          <w:rFonts w:ascii="仿宋" w:hAnsi="仿宋" w:eastAsia="仿宋" w:cs="仿宋"/>
          <w:sz w:val="32"/>
          <w:szCs w:val="32"/>
        </w:rPr>
      </w:pPr>
    </w:p>
    <w:p>
      <w:pPr>
        <w:spacing w:line="240" w:lineRule="exact"/>
        <w:rPr>
          <w:rFonts w:ascii="仿宋" w:hAnsi="仿宋" w:eastAsia="仿宋" w:cs="仿宋"/>
          <w:sz w:val="32"/>
          <w:szCs w:val="32"/>
        </w:rPr>
      </w:pPr>
    </w:p>
    <w:p>
      <w:pPr>
        <w:spacing w:line="240" w:lineRule="exact"/>
        <w:rPr>
          <w:rFonts w:ascii="仿宋" w:hAnsi="仿宋" w:eastAsia="仿宋" w:cs="仿宋"/>
          <w:sz w:val="32"/>
          <w:szCs w:val="32"/>
        </w:rPr>
      </w:pPr>
    </w:p>
    <w:p>
      <w:pPr>
        <w:spacing w:line="240" w:lineRule="exact"/>
        <w:rPr>
          <w:rFonts w:ascii="仿宋" w:hAnsi="仿宋" w:eastAsia="仿宋" w:cs="仿宋"/>
          <w:sz w:val="32"/>
          <w:szCs w:val="32"/>
        </w:rPr>
      </w:pPr>
    </w:p>
    <w:p>
      <w:pPr>
        <w:spacing w:line="240" w:lineRule="exact"/>
        <w:rPr>
          <w:rFonts w:ascii="仿宋" w:hAnsi="仿宋" w:eastAsia="仿宋" w:cs="仿宋"/>
          <w:sz w:val="32"/>
          <w:szCs w:val="32"/>
        </w:rPr>
      </w:pPr>
    </w:p>
    <w:p>
      <w:pPr>
        <w:spacing w:line="240" w:lineRule="exact"/>
        <w:rPr>
          <w:rFonts w:ascii="仿宋" w:hAnsi="仿宋" w:eastAsia="仿宋" w:cs="仿宋"/>
          <w:sz w:val="32"/>
          <w:szCs w:val="32"/>
        </w:rPr>
      </w:pPr>
    </w:p>
    <w:p>
      <w:pPr>
        <w:spacing w:line="240" w:lineRule="exact"/>
        <w:rPr>
          <w:rFonts w:ascii="仿宋" w:hAnsi="仿宋" w:eastAsia="仿宋" w:cs="仿宋"/>
          <w:sz w:val="32"/>
          <w:szCs w:val="32"/>
        </w:rPr>
      </w:pPr>
    </w:p>
    <w:p>
      <w:pPr>
        <w:spacing w:line="240" w:lineRule="exact"/>
        <w:rPr>
          <w:rFonts w:ascii="仿宋" w:hAnsi="仿宋" w:eastAsia="仿宋" w:cs="仿宋"/>
          <w:sz w:val="32"/>
          <w:szCs w:val="32"/>
        </w:rPr>
      </w:pPr>
    </w:p>
    <w:p>
      <w:pPr>
        <w:spacing w:line="240" w:lineRule="exact"/>
        <w:rPr>
          <w:rFonts w:ascii="仿宋" w:hAnsi="仿宋" w:eastAsia="仿宋" w:cs="仿宋"/>
          <w:sz w:val="32"/>
          <w:szCs w:val="32"/>
        </w:rPr>
      </w:pPr>
    </w:p>
    <w:p>
      <w:pPr>
        <w:spacing w:line="240" w:lineRule="exact"/>
        <w:rPr>
          <w:rFonts w:ascii="仿宋" w:hAnsi="仿宋" w:eastAsia="仿宋" w:cs="仿宋"/>
          <w:sz w:val="32"/>
          <w:szCs w:val="32"/>
        </w:rPr>
      </w:pPr>
    </w:p>
    <w:p>
      <w:pPr>
        <w:ind w:left="420" w:hanging="420"/>
        <w:jc w:val="center"/>
        <w:rPr>
          <w:rFonts w:hint="eastAsia" w:asciiTheme="minorEastAsia" w:hAnsiTheme="minorEastAsia" w:eastAsiaTheme="minorEastAsia" w:cstheme="minorEastAsia"/>
          <w:b/>
          <w:sz w:val="44"/>
          <w:szCs w:val="44"/>
          <w:lang w:val="en-US" w:eastAsia="zh-CN"/>
        </w:rPr>
      </w:pPr>
      <w:r>
        <w:rPr>
          <w:rFonts w:hint="eastAsia" w:asciiTheme="minorEastAsia" w:hAnsiTheme="minorEastAsia" w:eastAsiaTheme="minorEastAsia" w:cstheme="minorEastAsia"/>
          <w:b/>
          <w:sz w:val="44"/>
          <w:szCs w:val="44"/>
        </w:rPr>
        <w:t>清河县</w:t>
      </w:r>
      <w:r>
        <w:rPr>
          <w:rFonts w:hint="eastAsia" w:asciiTheme="minorEastAsia" w:hAnsiTheme="minorEastAsia" w:eastAsiaTheme="minorEastAsia" w:cstheme="minorEastAsia"/>
          <w:b/>
          <w:sz w:val="44"/>
          <w:szCs w:val="44"/>
          <w:lang w:eastAsia="zh-CN"/>
        </w:rPr>
        <w:t>审计</w:t>
      </w:r>
      <w:r>
        <w:rPr>
          <w:rFonts w:hint="eastAsia" w:asciiTheme="minorEastAsia" w:hAnsiTheme="minorEastAsia" w:eastAsiaTheme="minorEastAsia" w:cstheme="minorEastAsia"/>
          <w:b/>
          <w:sz w:val="44"/>
          <w:szCs w:val="44"/>
          <w:lang w:val="en-US" w:eastAsia="zh-CN"/>
        </w:rPr>
        <w:t>局</w:t>
      </w:r>
    </w:p>
    <w:p>
      <w:pPr>
        <w:ind w:left="420" w:hanging="420"/>
        <w:jc w:val="center"/>
        <w:rPr>
          <w:rFonts w:hint="eastAsia" w:asciiTheme="minorEastAsia" w:hAnsiTheme="minorEastAsia" w:eastAsiaTheme="minorEastAsia" w:cstheme="minorEastAsia"/>
          <w:b/>
          <w:sz w:val="44"/>
          <w:szCs w:val="44"/>
        </w:rPr>
      </w:pPr>
      <w:r>
        <w:rPr>
          <w:rFonts w:hint="eastAsia" w:asciiTheme="minorEastAsia" w:hAnsiTheme="minorEastAsia" w:eastAsiaTheme="minorEastAsia" w:cstheme="minorEastAsia"/>
          <w:b/>
          <w:sz w:val="44"/>
          <w:szCs w:val="44"/>
        </w:rPr>
        <w:t>整体支出绩效评价报告</w:t>
      </w:r>
    </w:p>
    <w:p>
      <w:pPr>
        <w:rPr>
          <w:rFonts w:hint="eastAsia" w:ascii="黑体" w:hAnsi="宋体" w:eastAsia="黑体"/>
          <w:sz w:val="21"/>
          <w:szCs w:val="21"/>
        </w:rPr>
      </w:pP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ind w:firstLine="640" w:firstLineChars="200"/>
        <w:jc w:val="left"/>
        <w:rPr>
          <w:rFonts w:hint="eastAsia" w:ascii="黑体" w:hAnsi="黑体" w:eastAsia="黑体" w:cs="黑体"/>
          <w:sz w:val="32"/>
          <w:szCs w:val="32"/>
          <w:lang w:eastAsia="zh-CN"/>
        </w:rPr>
      </w:pPr>
      <w:r>
        <w:rPr>
          <w:rFonts w:hint="eastAsia" w:ascii="黑体" w:hAnsi="黑体" w:eastAsia="黑体" w:cs="黑体"/>
          <w:sz w:val="32"/>
          <w:szCs w:val="32"/>
          <w:lang w:eastAsia="zh-CN"/>
        </w:rPr>
        <w:t>一、基本情况</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ind w:firstLine="640" w:firstLineChars="200"/>
        <w:jc w:val="left"/>
        <w:rPr>
          <w:rFonts w:hint="eastAsia" w:ascii="楷体" w:hAnsi="楷体" w:eastAsia="楷体" w:cs="楷体"/>
          <w:sz w:val="32"/>
          <w:szCs w:val="32"/>
          <w:lang w:eastAsia="zh-CN"/>
        </w:rPr>
      </w:pPr>
      <w:r>
        <w:rPr>
          <w:rFonts w:hint="eastAsia" w:ascii="楷体" w:hAnsi="楷体" w:eastAsia="楷体" w:cs="楷体"/>
          <w:sz w:val="32"/>
          <w:szCs w:val="32"/>
          <w:lang w:eastAsia="zh-CN"/>
        </w:rPr>
        <w:t>（一）组织机构及人员</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ind w:firstLine="640" w:firstLineChars="200"/>
        <w:jc w:val="left"/>
        <w:rPr>
          <w:rFonts w:hint="eastAsia" w:ascii="仿宋_GB2312" w:hAnsi="宋体" w:eastAsia="仿宋_GB2312"/>
          <w:sz w:val="32"/>
          <w:szCs w:val="32"/>
          <w:lang w:eastAsia="zh-CN"/>
        </w:rPr>
      </w:pPr>
      <w:r>
        <w:rPr>
          <w:rFonts w:hint="eastAsia" w:ascii="仿宋_GB2312" w:hAnsi="宋体" w:eastAsia="仿宋_GB2312"/>
          <w:sz w:val="32"/>
          <w:szCs w:val="32"/>
          <w:lang w:eastAsia="zh-CN"/>
        </w:rPr>
        <w:t>清河县审计</w:t>
      </w:r>
      <w:r>
        <w:rPr>
          <w:rFonts w:hint="eastAsia" w:ascii="仿宋_GB2312" w:hAnsi="宋体" w:eastAsia="仿宋_GB2312"/>
          <w:sz w:val="32"/>
          <w:szCs w:val="32"/>
          <w:lang w:val="en-US" w:eastAsia="zh-CN"/>
        </w:rPr>
        <w:t>局</w:t>
      </w:r>
      <w:r>
        <w:rPr>
          <w:rFonts w:hint="eastAsia" w:ascii="仿宋_GB2312" w:hAnsi="宋体" w:eastAsia="仿宋_GB2312"/>
          <w:sz w:val="32"/>
          <w:szCs w:val="32"/>
          <w:lang w:eastAsia="zh-CN"/>
        </w:rPr>
        <w:t>，隶属于清河县人民政府，为</w:t>
      </w:r>
      <w:r>
        <w:rPr>
          <w:rFonts w:hint="eastAsia" w:ascii="仿宋_GB2312" w:hAnsi="宋体" w:eastAsia="仿宋_GB2312"/>
          <w:sz w:val="32"/>
          <w:szCs w:val="32"/>
          <w:lang w:val="en-US" w:eastAsia="zh-CN"/>
        </w:rPr>
        <w:t>机关行政</w:t>
      </w:r>
      <w:r>
        <w:rPr>
          <w:rFonts w:hint="eastAsia" w:ascii="仿宋_GB2312" w:hAnsi="Arial" w:eastAsia="仿宋_GB2312" w:cs="Arial"/>
          <w:color w:val="000000"/>
          <w:kern w:val="0"/>
          <w:sz w:val="32"/>
          <w:szCs w:val="32"/>
        </w:rPr>
        <w:t>正科级单位，下设</w:t>
      </w:r>
      <w:r>
        <w:rPr>
          <w:rFonts w:hint="eastAsia" w:ascii="仿宋_GB2312" w:hAnsi="Arial" w:eastAsia="仿宋_GB2312" w:cs="Arial"/>
          <w:color w:val="000000"/>
          <w:kern w:val="0"/>
          <w:sz w:val="32"/>
          <w:szCs w:val="32"/>
          <w:lang w:val="en-US" w:eastAsia="zh-CN"/>
        </w:rPr>
        <w:t>办公室、行政事业审计股和财政金融审计</w:t>
      </w:r>
      <w:r>
        <w:rPr>
          <w:rFonts w:hint="eastAsia" w:ascii="仿宋_GB2312" w:hAnsi="Arial" w:eastAsia="仿宋_GB2312" w:cs="Arial"/>
          <w:color w:val="000000"/>
          <w:kern w:val="0"/>
          <w:sz w:val="32"/>
          <w:szCs w:val="32"/>
          <w:lang w:eastAsia="zh-CN"/>
        </w:rPr>
        <w:t>股三个股室</w:t>
      </w:r>
      <w:r>
        <w:rPr>
          <w:rFonts w:hint="eastAsia" w:ascii="仿宋_GB2312" w:hAnsi="Arial" w:eastAsia="仿宋_GB2312" w:cs="Arial"/>
          <w:color w:val="000000"/>
          <w:kern w:val="0"/>
          <w:sz w:val="32"/>
          <w:szCs w:val="32"/>
        </w:rPr>
        <w:t>。</w:t>
      </w:r>
      <w:r>
        <w:rPr>
          <w:rFonts w:hint="eastAsia" w:ascii="仿宋_GB2312" w:hAnsi="Arial" w:eastAsia="仿宋_GB2312" w:cs="Arial"/>
          <w:color w:val="000000"/>
          <w:kern w:val="0"/>
          <w:sz w:val="32"/>
          <w:szCs w:val="32"/>
          <w:lang w:eastAsia="zh-CN"/>
        </w:rPr>
        <w:t>共有干部职工</w:t>
      </w:r>
      <w:r>
        <w:rPr>
          <w:rFonts w:hint="eastAsia" w:ascii="仿宋_GB2312" w:hAnsi="Arial" w:eastAsia="仿宋_GB2312" w:cs="Arial"/>
          <w:color w:val="000000"/>
          <w:kern w:val="0"/>
          <w:sz w:val="32"/>
          <w:szCs w:val="32"/>
          <w:lang w:val="en-US" w:eastAsia="zh-CN"/>
        </w:rPr>
        <w:t>39人，其中</w:t>
      </w:r>
      <w:r>
        <w:rPr>
          <w:rFonts w:hint="eastAsia" w:ascii="仿宋_GB2312" w:hAnsi="Arial" w:eastAsia="仿宋_GB2312" w:cs="Arial"/>
          <w:color w:val="000000"/>
          <w:kern w:val="0"/>
          <w:sz w:val="32"/>
          <w:szCs w:val="32"/>
        </w:rPr>
        <w:t>有</w:t>
      </w:r>
      <w:r>
        <w:rPr>
          <w:rFonts w:hint="eastAsia" w:ascii="仿宋_GB2312" w:hAnsi="Arial" w:eastAsia="仿宋_GB2312" w:cs="Arial"/>
          <w:color w:val="000000"/>
          <w:kern w:val="0"/>
          <w:sz w:val="32"/>
          <w:szCs w:val="32"/>
          <w:lang w:val="en-US" w:eastAsia="zh-CN"/>
        </w:rPr>
        <w:t>行政</w:t>
      </w:r>
      <w:r>
        <w:rPr>
          <w:rFonts w:hint="eastAsia" w:ascii="仿宋_GB2312" w:hAnsi="Arial" w:eastAsia="仿宋_GB2312" w:cs="Arial"/>
          <w:color w:val="000000"/>
          <w:kern w:val="0"/>
          <w:sz w:val="32"/>
          <w:szCs w:val="32"/>
        </w:rPr>
        <w:t>人员</w:t>
      </w:r>
      <w:r>
        <w:rPr>
          <w:rFonts w:hint="eastAsia" w:ascii="仿宋_GB2312" w:hAnsi="Arial" w:eastAsia="仿宋_GB2312" w:cs="Arial"/>
          <w:color w:val="000000"/>
          <w:kern w:val="0"/>
          <w:sz w:val="32"/>
          <w:szCs w:val="32"/>
          <w:lang w:val="en-US" w:eastAsia="zh-CN"/>
        </w:rPr>
        <w:t>13人</w:t>
      </w:r>
      <w:r>
        <w:rPr>
          <w:rFonts w:hint="eastAsia" w:ascii="仿宋_GB2312" w:hAnsi="Arial" w:eastAsia="仿宋_GB2312" w:cs="Arial"/>
          <w:color w:val="000000"/>
          <w:kern w:val="0"/>
          <w:sz w:val="32"/>
          <w:szCs w:val="32"/>
          <w:lang w:eastAsia="zh-CN"/>
        </w:rPr>
        <w:t>，事业</w:t>
      </w:r>
      <w:r>
        <w:rPr>
          <w:rFonts w:hint="eastAsia" w:ascii="仿宋_GB2312" w:hAnsi="Arial" w:eastAsia="仿宋_GB2312" w:cs="Arial"/>
          <w:color w:val="000000"/>
          <w:kern w:val="0"/>
          <w:sz w:val="32"/>
          <w:szCs w:val="32"/>
          <w:lang w:val="en-US" w:eastAsia="zh-CN"/>
        </w:rPr>
        <w:t>人员25人，工勤人员1人，</w:t>
      </w:r>
      <w:r>
        <w:rPr>
          <w:rFonts w:hint="eastAsia" w:ascii="仿宋_GB2312" w:hAnsi="Arial" w:eastAsia="仿宋_GB2312" w:cs="Arial"/>
          <w:color w:val="000000"/>
          <w:kern w:val="0"/>
          <w:sz w:val="32"/>
          <w:szCs w:val="32"/>
          <w:lang w:eastAsia="zh-CN"/>
        </w:rPr>
        <w:t>经费形式为全额财政。</w:t>
      </w:r>
      <w:r>
        <w:rPr>
          <w:rFonts w:hint="eastAsia" w:ascii="仿宋_GB2312" w:hAnsi="Arial" w:eastAsia="仿宋_GB2312" w:cs="Arial"/>
          <w:color w:val="000000"/>
          <w:kern w:val="0"/>
          <w:sz w:val="32"/>
          <w:szCs w:val="32"/>
          <w:lang w:val="en-US" w:eastAsia="zh-CN"/>
        </w:rPr>
        <w:t>另有</w:t>
      </w:r>
      <w:r>
        <w:rPr>
          <w:rFonts w:hint="eastAsia" w:ascii="仿宋_GB2312" w:hAnsi="Arial" w:eastAsia="仿宋_GB2312" w:cs="Arial"/>
          <w:color w:val="000000"/>
          <w:kern w:val="0"/>
          <w:sz w:val="32"/>
          <w:szCs w:val="32"/>
          <w:lang w:eastAsia="zh-CN"/>
        </w:rPr>
        <w:t>退休人员</w:t>
      </w:r>
      <w:r>
        <w:rPr>
          <w:rFonts w:hint="eastAsia" w:ascii="仿宋_GB2312" w:hAnsi="Arial" w:eastAsia="仿宋_GB2312" w:cs="Arial"/>
          <w:color w:val="000000"/>
          <w:kern w:val="0"/>
          <w:sz w:val="32"/>
          <w:szCs w:val="32"/>
          <w:lang w:val="en-US" w:eastAsia="zh-CN"/>
        </w:rPr>
        <w:t>12人</w:t>
      </w:r>
      <w:r>
        <w:rPr>
          <w:rFonts w:hint="eastAsia" w:ascii="仿宋_GB2312" w:hAnsi="Arial" w:eastAsia="仿宋_GB2312" w:cs="Arial"/>
          <w:color w:val="000000"/>
          <w:kern w:val="0"/>
          <w:sz w:val="32"/>
          <w:szCs w:val="32"/>
        </w:rPr>
        <w:t>。</w:t>
      </w:r>
      <w:r>
        <w:rPr>
          <w:rFonts w:hint="eastAsia" w:ascii="仿宋_GB2312" w:hAnsi="Arial" w:eastAsia="仿宋_GB2312" w:cs="Arial"/>
          <w:color w:val="000000"/>
          <w:kern w:val="0"/>
          <w:sz w:val="32"/>
          <w:szCs w:val="32"/>
          <w:lang w:eastAsia="zh-CN"/>
        </w:rPr>
        <w:t>建有</w:t>
      </w:r>
      <w:r>
        <w:rPr>
          <w:rFonts w:hint="eastAsia" w:ascii="仿宋_GB2312" w:hAnsi="宋体" w:eastAsia="仿宋_GB2312"/>
          <w:sz w:val="32"/>
          <w:szCs w:val="32"/>
        </w:rPr>
        <w:t>例会</w:t>
      </w:r>
      <w:r>
        <w:rPr>
          <w:rFonts w:hint="eastAsia" w:ascii="仿宋_GB2312" w:hAnsi="宋体" w:eastAsia="仿宋_GB2312"/>
          <w:sz w:val="32"/>
          <w:szCs w:val="32"/>
          <w:lang w:eastAsia="zh-CN"/>
        </w:rPr>
        <w:t>、</w:t>
      </w:r>
      <w:r>
        <w:rPr>
          <w:rFonts w:hint="eastAsia" w:ascii="仿宋_GB2312" w:hAnsi="宋体" w:eastAsia="仿宋_GB2312"/>
          <w:sz w:val="32"/>
          <w:szCs w:val="32"/>
        </w:rPr>
        <w:t>主题党日</w:t>
      </w:r>
      <w:r>
        <w:rPr>
          <w:rFonts w:hint="eastAsia" w:ascii="仿宋_GB2312" w:hAnsi="宋体" w:eastAsia="仿宋_GB2312"/>
          <w:sz w:val="32"/>
          <w:szCs w:val="32"/>
          <w:lang w:eastAsia="zh-CN"/>
        </w:rPr>
        <w:t>、财务管理等日常工作制度，各项工作都能够做到有规可依、依法管理。</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ind w:firstLine="640" w:firstLineChars="200"/>
        <w:jc w:val="left"/>
        <w:rPr>
          <w:rFonts w:hint="eastAsia" w:ascii="楷体" w:hAnsi="楷体" w:eastAsia="楷体" w:cs="楷体"/>
          <w:color w:val="000000"/>
          <w:kern w:val="0"/>
          <w:sz w:val="32"/>
          <w:szCs w:val="32"/>
          <w:lang w:eastAsia="zh-CN"/>
        </w:rPr>
      </w:pPr>
      <w:r>
        <w:rPr>
          <w:rFonts w:hint="eastAsia" w:ascii="楷体" w:hAnsi="楷体" w:eastAsia="楷体" w:cs="楷体"/>
          <w:color w:val="000000"/>
          <w:kern w:val="0"/>
          <w:sz w:val="32"/>
          <w:szCs w:val="32"/>
          <w:lang w:eastAsia="zh-CN"/>
        </w:rPr>
        <w:t>（二）主要职责</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（一）组织并实施全县的审计业务，编制审计工作规划，确定年度工作重点；参与制定本县有关审计、财经方面的政策法规；制定审计规章制度并监督执行情况。</w:t>
      </w:r>
    </w:p>
    <w:p>
      <w:pPr>
        <w:ind w:firstLine="640" w:firstLineChars="200"/>
        <w:rPr>
          <w:rFonts w:hint="eastAsia" w:ascii="仿宋" w:hAnsi="仿宋" w:eastAsia="仿宋" w:cs="仿宋_GB2312"/>
          <w:sz w:val="32"/>
          <w:szCs w:val="32"/>
        </w:rPr>
      </w:pPr>
      <w:r>
        <w:rPr>
          <w:rFonts w:hint="eastAsia" w:ascii="仿宋" w:hAnsi="仿宋" w:eastAsia="仿宋" w:cs="仿宋_GB2312"/>
          <w:sz w:val="32"/>
          <w:szCs w:val="32"/>
        </w:rPr>
        <w:t>（二）向县政府报告和县政府有关部门通报审计情况，提出制定和完善有关政策法规、工作措施的建议。</w:t>
      </w:r>
    </w:p>
    <w:p>
      <w:pPr>
        <w:ind w:firstLine="640" w:firstLineChars="200"/>
        <w:rPr>
          <w:rFonts w:hint="eastAsia" w:ascii="仿宋" w:hAnsi="仿宋" w:eastAsia="仿宋" w:cs="仿宋_GB2312"/>
          <w:sz w:val="32"/>
          <w:szCs w:val="32"/>
        </w:rPr>
      </w:pPr>
      <w:r>
        <w:rPr>
          <w:rFonts w:hint="eastAsia" w:ascii="仿宋" w:hAnsi="仿宋" w:eastAsia="仿宋" w:cs="仿宋_GB2312"/>
          <w:sz w:val="32"/>
          <w:szCs w:val="32"/>
        </w:rPr>
        <w:t>（三）根据《中华人民共和国审计法》和《中华人民共和国审计法实施条例》的规定，直接进行下列审计：</w:t>
      </w:r>
    </w:p>
    <w:p>
      <w:pPr>
        <w:ind w:firstLine="640" w:firstLineChars="200"/>
        <w:rPr>
          <w:rFonts w:hint="eastAsia" w:ascii="仿宋" w:hAnsi="仿宋" w:eastAsia="仿宋" w:cs="仿宋_GB2312"/>
          <w:sz w:val="32"/>
          <w:szCs w:val="32"/>
        </w:rPr>
      </w:pPr>
      <w:r>
        <w:rPr>
          <w:rFonts w:hint="eastAsia" w:ascii="仿宋" w:hAnsi="仿宋" w:eastAsia="仿宋" w:cs="仿宋_GB2312"/>
          <w:sz w:val="32"/>
          <w:szCs w:val="32"/>
        </w:rPr>
        <w:t>1、县本级财政预算执行情况和其他财政收支。</w:t>
      </w:r>
    </w:p>
    <w:p>
      <w:pPr>
        <w:ind w:firstLine="640" w:firstLineChars="200"/>
        <w:rPr>
          <w:rFonts w:hint="eastAsia" w:ascii="仿宋" w:hAnsi="仿宋" w:eastAsia="仿宋" w:cs="仿宋_GB2312"/>
          <w:sz w:val="32"/>
          <w:szCs w:val="32"/>
        </w:rPr>
      </w:pPr>
      <w:r>
        <w:rPr>
          <w:rFonts w:hint="eastAsia" w:ascii="仿宋" w:hAnsi="仿宋" w:eastAsia="仿宋" w:cs="仿宋_GB2312"/>
          <w:sz w:val="32"/>
          <w:szCs w:val="32"/>
        </w:rPr>
        <w:t>2、县直各部门、事业单位及下属单位的财务收支。</w:t>
      </w:r>
    </w:p>
    <w:p>
      <w:pPr>
        <w:ind w:firstLine="640" w:firstLineChars="200"/>
        <w:rPr>
          <w:rFonts w:hint="eastAsia" w:ascii="仿宋" w:hAnsi="仿宋" w:eastAsia="仿宋" w:cs="仿宋_GB2312"/>
          <w:sz w:val="32"/>
          <w:szCs w:val="32"/>
        </w:rPr>
      </w:pPr>
      <w:r>
        <w:rPr>
          <w:rFonts w:hint="eastAsia" w:ascii="仿宋" w:hAnsi="仿宋" w:eastAsia="仿宋" w:cs="仿宋_GB2312"/>
          <w:sz w:val="32"/>
          <w:szCs w:val="32"/>
        </w:rPr>
        <w:t>3、镇（办事处）人民政府财政决算。</w:t>
      </w:r>
    </w:p>
    <w:p>
      <w:pPr>
        <w:ind w:firstLine="640" w:firstLineChars="200"/>
        <w:rPr>
          <w:rFonts w:hint="eastAsia" w:ascii="仿宋" w:hAnsi="仿宋" w:eastAsia="仿宋" w:cs="仿宋_GB2312"/>
          <w:sz w:val="32"/>
          <w:szCs w:val="32"/>
        </w:rPr>
      </w:pPr>
      <w:r>
        <w:rPr>
          <w:rFonts w:hint="eastAsia" w:ascii="仿宋" w:hAnsi="仿宋" w:eastAsia="仿宋" w:cs="仿宋_GB2312"/>
          <w:sz w:val="32"/>
          <w:szCs w:val="32"/>
        </w:rPr>
        <w:t>4、县政府各部门和镇（办事处）人民政府预算外财政收支。</w:t>
      </w:r>
    </w:p>
    <w:p>
      <w:pPr>
        <w:ind w:firstLine="640" w:firstLineChars="200"/>
        <w:rPr>
          <w:rFonts w:hint="eastAsia" w:ascii="仿宋" w:hAnsi="仿宋" w:eastAsia="仿宋" w:cs="仿宋_GB2312"/>
          <w:sz w:val="32"/>
          <w:szCs w:val="32"/>
        </w:rPr>
      </w:pPr>
      <w:r>
        <w:rPr>
          <w:rFonts w:hint="eastAsia" w:ascii="仿宋" w:hAnsi="仿宋" w:eastAsia="仿宋" w:cs="仿宋_GB2312"/>
          <w:sz w:val="32"/>
          <w:szCs w:val="32"/>
        </w:rPr>
        <w:t>5、县属地方金融、保险机构及分支机构的资产、负债和损益情况；省、市审计机关安排的国有金融机构、非银行金融机构资产、负债和损益情况。</w:t>
      </w:r>
    </w:p>
    <w:p>
      <w:pPr>
        <w:ind w:firstLine="640" w:firstLineChars="200"/>
        <w:rPr>
          <w:rFonts w:hint="eastAsia" w:ascii="仿宋" w:hAnsi="仿宋" w:eastAsia="仿宋" w:cs="仿宋_GB2312"/>
          <w:sz w:val="32"/>
          <w:szCs w:val="32"/>
        </w:rPr>
      </w:pPr>
      <w:r>
        <w:rPr>
          <w:rFonts w:hint="eastAsia" w:ascii="仿宋" w:hAnsi="仿宋" w:eastAsia="仿宋" w:cs="仿宋_GB2312"/>
          <w:sz w:val="32"/>
          <w:szCs w:val="32"/>
        </w:rPr>
        <w:t>6、县政府管理的和受县政府委托由社会团体管理的社会保险基金、环境保护资金、社会捐赠资金及其他有关基金、资金的财务收支。</w:t>
      </w:r>
    </w:p>
    <w:p>
      <w:pPr>
        <w:ind w:firstLine="640" w:firstLineChars="200"/>
        <w:rPr>
          <w:rFonts w:hint="eastAsia" w:ascii="仿宋" w:hAnsi="仿宋" w:eastAsia="仿宋" w:cs="仿宋_GB2312"/>
          <w:sz w:val="32"/>
          <w:szCs w:val="32"/>
        </w:rPr>
      </w:pPr>
      <w:r>
        <w:rPr>
          <w:rFonts w:hint="eastAsia" w:ascii="仿宋" w:hAnsi="仿宋" w:eastAsia="仿宋" w:cs="仿宋_GB2312"/>
          <w:sz w:val="32"/>
          <w:szCs w:val="32"/>
        </w:rPr>
        <w:t>7、上级审计机关授权对国际组织和外国政府援助、贷款项目的财务收支。</w:t>
      </w:r>
    </w:p>
    <w:p>
      <w:pPr>
        <w:ind w:firstLine="640" w:firstLineChars="200"/>
        <w:rPr>
          <w:rFonts w:hint="eastAsia" w:ascii="仿宋" w:hAnsi="仿宋" w:eastAsia="仿宋" w:cs="仿宋_GB2312"/>
          <w:sz w:val="32"/>
          <w:szCs w:val="32"/>
        </w:rPr>
      </w:pPr>
      <w:r>
        <w:rPr>
          <w:rFonts w:hint="eastAsia" w:ascii="仿宋" w:hAnsi="仿宋" w:eastAsia="仿宋" w:cs="仿宋_GB2312"/>
          <w:sz w:val="32"/>
          <w:szCs w:val="32"/>
        </w:rPr>
        <w:t>8、县属境外企业、合资、合作企业的资产、负债和损益状况。</w:t>
      </w:r>
    </w:p>
    <w:p>
      <w:pPr>
        <w:ind w:firstLine="640" w:firstLineChars="200"/>
        <w:rPr>
          <w:rFonts w:hint="eastAsia" w:ascii="仿宋" w:hAnsi="仿宋" w:eastAsia="仿宋" w:cs="仿宋_GB2312"/>
          <w:sz w:val="32"/>
          <w:szCs w:val="32"/>
        </w:rPr>
      </w:pPr>
      <w:r>
        <w:rPr>
          <w:rFonts w:hint="eastAsia" w:ascii="仿宋" w:hAnsi="仿宋" w:eastAsia="仿宋" w:cs="仿宋_GB2312"/>
          <w:sz w:val="32"/>
          <w:szCs w:val="32"/>
        </w:rPr>
        <w:t>9、县国有企业、国有控股企业的资产、负债和损益状况。</w:t>
      </w:r>
    </w:p>
    <w:p>
      <w:pPr>
        <w:ind w:firstLine="640" w:firstLineChars="200"/>
        <w:rPr>
          <w:rFonts w:hint="eastAsia" w:ascii="仿宋" w:hAnsi="仿宋" w:eastAsia="仿宋" w:cs="仿宋_GB2312"/>
          <w:sz w:val="32"/>
          <w:szCs w:val="32"/>
        </w:rPr>
      </w:pPr>
      <w:r>
        <w:rPr>
          <w:rFonts w:hint="eastAsia" w:ascii="仿宋" w:hAnsi="仿宋" w:eastAsia="仿宋" w:cs="仿宋_GB2312"/>
          <w:sz w:val="32"/>
          <w:szCs w:val="32"/>
        </w:rPr>
        <w:t>10、国家投资建设项目的预算或概算的执行情况和决算。</w:t>
      </w:r>
    </w:p>
    <w:p>
      <w:pPr>
        <w:ind w:firstLine="640" w:firstLineChars="200"/>
        <w:rPr>
          <w:rFonts w:hint="eastAsia" w:ascii="仿宋" w:hAnsi="仿宋" w:eastAsia="仿宋" w:cs="仿宋_GB2312"/>
          <w:sz w:val="32"/>
          <w:szCs w:val="32"/>
        </w:rPr>
      </w:pPr>
      <w:r>
        <w:rPr>
          <w:rFonts w:hint="eastAsia" w:ascii="仿宋" w:hAnsi="仿宋" w:eastAsia="仿宋" w:cs="仿宋_GB2312"/>
          <w:sz w:val="32"/>
          <w:szCs w:val="32"/>
        </w:rPr>
        <w:t>11、受政府委托开展乡局级党政领导干部任期经济责任和国有控股企业领导人任期经济责任审计。</w:t>
      </w:r>
    </w:p>
    <w:p>
      <w:pPr>
        <w:ind w:firstLine="640" w:firstLineChars="200"/>
        <w:rPr>
          <w:rFonts w:hint="eastAsia" w:ascii="仿宋" w:hAnsi="仿宋" w:eastAsia="仿宋" w:cs="仿宋_GB2312"/>
          <w:sz w:val="32"/>
          <w:szCs w:val="32"/>
        </w:rPr>
      </w:pPr>
      <w:r>
        <w:rPr>
          <w:rFonts w:hint="eastAsia" w:ascii="仿宋" w:hAnsi="仿宋" w:eastAsia="仿宋" w:cs="仿宋_GB2312"/>
          <w:sz w:val="32"/>
          <w:szCs w:val="32"/>
        </w:rPr>
        <w:t>12县属各部门、企业、国有控股企业计算机硬件系统、软件系统、数据库系统、管理系统状况。</w:t>
      </w:r>
    </w:p>
    <w:p>
      <w:pPr>
        <w:ind w:firstLine="640" w:firstLineChars="200"/>
        <w:rPr>
          <w:rFonts w:hint="eastAsia" w:ascii="仿宋" w:hAnsi="仿宋" w:eastAsia="仿宋" w:cs="仿宋_GB2312"/>
          <w:sz w:val="32"/>
          <w:szCs w:val="32"/>
        </w:rPr>
      </w:pPr>
      <w:r>
        <w:rPr>
          <w:rFonts w:hint="eastAsia" w:ascii="仿宋" w:hAnsi="仿宋" w:eastAsia="仿宋" w:cs="仿宋_GB2312"/>
          <w:sz w:val="32"/>
          <w:szCs w:val="32"/>
        </w:rPr>
        <w:t>13、其他法律法规规定的审计事项。</w:t>
      </w:r>
    </w:p>
    <w:p>
      <w:pPr>
        <w:ind w:firstLine="640" w:firstLineChars="200"/>
        <w:rPr>
          <w:rFonts w:hint="eastAsia" w:ascii="仿宋" w:hAnsi="仿宋" w:eastAsia="仿宋" w:cs="仿宋_GB2312"/>
          <w:sz w:val="32"/>
          <w:szCs w:val="32"/>
        </w:rPr>
      </w:pPr>
      <w:r>
        <w:rPr>
          <w:rFonts w:hint="eastAsia" w:ascii="仿宋" w:hAnsi="仿宋" w:eastAsia="仿宋" w:cs="仿宋_GB2312"/>
          <w:sz w:val="32"/>
          <w:szCs w:val="32"/>
        </w:rPr>
        <w:t>（四）向县长提交县本级预算执行情况的审计结果报告；受政府委托向人大常委会提出预算执行情况和其他财政收支审计工作报告。</w:t>
      </w:r>
    </w:p>
    <w:p>
      <w:pPr>
        <w:ind w:firstLine="640" w:firstLineChars="200"/>
        <w:rPr>
          <w:rFonts w:hint="eastAsia" w:ascii="仿宋" w:hAnsi="仿宋" w:eastAsia="仿宋" w:cs="仿宋_GB2312"/>
          <w:sz w:val="32"/>
          <w:szCs w:val="32"/>
        </w:rPr>
      </w:pPr>
      <w:r>
        <w:rPr>
          <w:rFonts w:hint="eastAsia" w:ascii="仿宋" w:hAnsi="仿宋" w:eastAsia="仿宋" w:cs="仿宋_GB2312"/>
          <w:sz w:val="32"/>
          <w:szCs w:val="32"/>
        </w:rPr>
        <w:t>（五）组织实施对贯彻执行国家财政方针政策和宏观调控措施情况的行业审计、专项审计和审计调查。</w:t>
      </w:r>
    </w:p>
    <w:p>
      <w:pPr>
        <w:ind w:firstLine="640" w:firstLineChars="200"/>
        <w:rPr>
          <w:rFonts w:hint="eastAsia" w:ascii="仿宋" w:hAnsi="仿宋" w:eastAsia="仿宋" w:cs="仿宋_GB2312"/>
          <w:sz w:val="32"/>
          <w:szCs w:val="32"/>
        </w:rPr>
      </w:pPr>
      <w:r>
        <w:rPr>
          <w:rFonts w:hint="eastAsia" w:ascii="仿宋" w:hAnsi="仿宋" w:eastAsia="仿宋" w:cs="仿宋_GB2312"/>
          <w:sz w:val="32"/>
          <w:szCs w:val="32"/>
        </w:rPr>
        <w:t>（六）组织实施对内部审计的指导和监督。</w:t>
      </w:r>
    </w:p>
    <w:p>
      <w:pPr>
        <w:ind w:firstLine="640" w:firstLineChars="200"/>
        <w:rPr>
          <w:rFonts w:hint="default" w:ascii="仿宋_GB2312" w:hAnsi="宋体" w:eastAsia="仿宋_GB2312"/>
          <w:sz w:val="32"/>
          <w:szCs w:val="32"/>
          <w:lang w:val="en-US" w:eastAsia="zh-CN"/>
        </w:rPr>
      </w:pPr>
      <w:r>
        <w:rPr>
          <w:rFonts w:hint="eastAsia" w:ascii="仿宋" w:hAnsi="仿宋" w:eastAsia="仿宋" w:cs="仿宋_GB2312"/>
          <w:sz w:val="32"/>
          <w:szCs w:val="32"/>
        </w:rPr>
        <w:t>（七）承办县委、县政府和市审计局交办的其他事项。</w:t>
      </w:r>
      <w:r>
        <w:rPr>
          <w:rFonts w:hint="eastAsia" w:ascii="仿宋_GB2312" w:hAnsi="宋体" w:eastAsia="仿宋_GB2312"/>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预算绩效管理开展及整体绩效实现情况</w:t>
      </w:r>
    </w:p>
    <w:p>
      <w:pPr>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以党的十九大和省、市、县全会精神为指针，以习近平新时代中国特色社会主义思想为统领，围绕县委、县政府中心工作，认真对接好上级审计机关工作安排，切实履行好审计职能，当好公共资金守护者，国有利益捍卫者，积极推动清河科学发展。</w:t>
      </w:r>
    </w:p>
    <w:p>
      <w:pPr>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（一）加大对国家重大政策措施和宏观调控部署落实情况的跟踪审计力度。</w:t>
      </w:r>
    </w:p>
    <w:p>
      <w:pPr>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（二）加大预算执行和其他财政收支审计力度。</w:t>
      </w:r>
    </w:p>
    <w:p>
      <w:pPr>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（三）加强民生资金审计。</w:t>
      </w:r>
    </w:p>
    <w:p>
      <w:pPr>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（四）强化监督，在经济责任审计中关注领导用权、管权水平。</w:t>
      </w:r>
    </w:p>
    <w:p>
      <w:pPr>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（五）规范政府投资行为，深入推进跟踪审计的规范化运行。</w:t>
      </w:r>
    </w:p>
    <w:p>
      <w:pPr>
        <w:ind w:firstLine="640" w:firstLineChars="200"/>
        <w:rPr>
          <w:rFonts w:hint="default" w:ascii="仿宋" w:hAnsi="仿宋" w:eastAsia="仿宋" w:cs="仿宋"/>
          <w:sz w:val="32"/>
          <w:szCs w:val="32"/>
          <w:lang w:val="en-US" w:eastAsia="zh-CN"/>
        </w:rPr>
      </w:pPr>
      <w:r>
        <w:rPr>
          <w:rFonts w:hint="eastAsia" w:ascii="仿宋_GB2312" w:hAnsi="宋体" w:eastAsia="仿宋_GB2312"/>
          <w:sz w:val="32"/>
          <w:szCs w:val="32"/>
          <w:lang w:eastAsia="zh-CN"/>
        </w:rPr>
        <w:t>（六）加强审计管理和审计政务管理工作。</w:t>
      </w:r>
      <w:r>
        <w:rPr>
          <w:rFonts w:hint="eastAsia" w:ascii="仿宋_GB2312" w:hAnsi="宋体" w:eastAsia="仿宋_GB2312"/>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eastAsia="zh-CN"/>
        </w:rPr>
      </w:pPr>
      <w:r>
        <w:rPr>
          <w:rFonts w:hint="eastAsia" w:ascii="仿宋_GB2312" w:hAnsi="宋体" w:eastAsia="仿宋_GB2312"/>
          <w:sz w:val="32"/>
          <w:szCs w:val="32"/>
          <w:lang w:eastAsia="zh-CN"/>
        </w:rPr>
        <w:t>县审计</w:t>
      </w:r>
      <w:r>
        <w:rPr>
          <w:rFonts w:hint="eastAsia" w:ascii="仿宋_GB2312" w:hAnsi="宋体" w:eastAsia="仿宋_GB2312"/>
          <w:sz w:val="32"/>
          <w:szCs w:val="32"/>
          <w:lang w:val="en-US" w:eastAsia="zh-CN"/>
        </w:rPr>
        <w:t>局</w:t>
      </w:r>
      <w:r>
        <w:rPr>
          <w:rFonts w:hint="eastAsia" w:ascii="仿宋_GB2312" w:hAnsi="宋体" w:eastAsia="仿宋_GB2312"/>
          <w:sz w:val="32"/>
          <w:szCs w:val="32"/>
          <w:lang w:eastAsia="zh-CN"/>
        </w:rPr>
        <w:t>加强对预算安排的项目资金管理，保证</w:t>
      </w:r>
      <w:r>
        <w:rPr>
          <w:rFonts w:hint="eastAsia" w:ascii="仿宋" w:hAnsi="仿宋" w:eastAsia="仿宋" w:cs="仿宋"/>
          <w:sz w:val="32"/>
          <w:szCs w:val="32"/>
          <w:lang w:eastAsia="zh-CN"/>
        </w:rPr>
        <w:t>项目资金按计划、按进度进行。</w:t>
      </w:r>
      <w:r>
        <w:rPr>
          <w:rFonts w:hint="eastAsia" w:ascii="仿宋_GB2312" w:hAnsi="宋体" w:eastAsia="仿宋_GB2312"/>
          <w:sz w:val="32"/>
          <w:szCs w:val="32"/>
          <w:lang w:eastAsia="zh-CN"/>
        </w:rPr>
        <w:t>预算资金使用符合国家财经法规和财务管理制度规定以及有关部门资金管理办法的规定，</w:t>
      </w:r>
      <w:r>
        <w:rPr>
          <w:rFonts w:hint="eastAsia" w:ascii="仿宋" w:hAnsi="仿宋" w:eastAsia="仿宋" w:cs="仿宋"/>
          <w:sz w:val="32"/>
          <w:szCs w:val="32"/>
          <w:lang w:eastAsia="zh-CN"/>
        </w:rPr>
        <w:t>三公经费</w:t>
      </w:r>
      <w:r>
        <w:rPr>
          <w:rFonts w:hint="eastAsia" w:ascii="仿宋" w:hAnsi="仿宋" w:eastAsia="仿宋" w:cs="仿宋"/>
          <w:sz w:val="32"/>
          <w:szCs w:val="32"/>
          <w:lang w:val="en-US" w:eastAsia="zh-CN"/>
        </w:rPr>
        <w:t>中公务用车费用递减</w:t>
      </w:r>
      <w:r>
        <w:rPr>
          <w:rFonts w:hint="eastAsia" w:ascii="仿宋" w:hAnsi="仿宋" w:eastAsia="仿宋" w:cs="仿宋"/>
          <w:sz w:val="32"/>
          <w:szCs w:val="32"/>
          <w:lang w:eastAsia="zh-CN"/>
        </w:rPr>
        <w:t>，专项资金实行项目管理，专款专用，不截留挪用，不挤占浪费，不套取转移专项资金。每年上年度末编制预算，上报县财政局批准，根据县财政局批复预算数向单位全体科室通报，并公示。下年度各项经费开支必须以预算批复额度为基准，不得无预算、超预算支出。所有项目用款须有</w:t>
      </w:r>
      <w:r>
        <w:rPr>
          <w:rFonts w:hint="eastAsia" w:ascii="仿宋" w:hAnsi="仿宋" w:eastAsia="仿宋" w:cs="仿宋"/>
          <w:sz w:val="32"/>
          <w:szCs w:val="32"/>
          <w:lang w:val="en-US" w:eastAsia="zh-CN"/>
        </w:rPr>
        <w:t>主管财务领导</w:t>
      </w:r>
      <w:r>
        <w:rPr>
          <w:rFonts w:hint="eastAsia" w:ascii="仿宋" w:hAnsi="仿宋" w:eastAsia="仿宋" w:cs="仿宋"/>
          <w:sz w:val="32"/>
          <w:szCs w:val="32"/>
          <w:lang w:eastAsia="zh-CN"/>
        </w:rPr>
        <w:t>审批。</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绩效评价的组织实施情况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仿宋" w:hAnsi="仿宋" w:eastAsia="仿宋_GB2312" w:cs="仿宋"/>
          <w:color w:val="000000" w:themeColor="text1"/>
          <w:sz w:val="32"/>
          <w:szCs w:val="32"/>
          <w:lang w:val="en-US" w:eastAsia="zh-CN"/>
        </w:rPr>
      </w:pPr>
      <w:r>
        <w:rPr>
          <w:rFonts w:hint="eastAsia" w:ascii="仿宋" w:hAnsi="仿宋" w:eastAsia="仿宋" w:cs="仿宋"/>
          <w:sz w:val="32"/>
          <w:szCs w:val="32"/>
          <w:lang w:eastAsia="zh-CN"/>
        </w:rPr>
        <w:t>审计局主管全县审计工作。通过财政财务收支审计真实、合法和效益情况，维护国家财政经济秩序，促进廉政建设，保障国民经济的健康运行。</w:t>
      </w: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我单位结合单位实际情况，</w:t>
      </w:r>
      <w:r>
        <w:rPr>
          <w:rFonts w:hint="eastAsia" w:ascii="仿宋_GB2312" w:hAnsi="仿宋_GB2312" w:eastAsia="仿宋_GB2312" w:cs="仿宋_GB2312"/>
          <w:sz w:val="32"/>
          <w:szCs w:val="32"/>
          <w:lang w:val="en-US" w:eastAsia="zh-CN"/>
        </w:rPr>
        <w:t>依据工作年度责任目标考核办法规定，制定了绩效自评工作方案，成立了以局长为组长的自评小组，认真开展了项目绩效自评工作。先</w:t>
      </w:r>
      <w:r>
        <w:rPr>
          <w:rFonts w:hint="eastAsia" w:ascii="仿宋" w:hAnsi="仿宋" w:eastAsia="仿宋" w:cs="仿宋"/>
          <w:sz w:val="32"/>
          <w:szCs w:val="32"/>
          <w:lang w:eastAsia="zh-CN"/>
        </w:rPr>
        <w:t>以个人、科室为单位，对本年度工作进行总结归纳，汇总后再由单位</w:t>
      </w:r>
      <w:r>
        <w:rPr>
          <w:rFonts w:hint="eastAsia" w:ascii="仿宋_GB2312" w:hAnsi="仿宋_GB2312" w:eastAsia="仿宋_GB2312" w:cs="仿宋_GB2312"/>
          <w:sz w:val="32"/>
          <w:szCs w:val="32"/>
          <w:lang w:val="en-US" w:eastAsia="zh-CN"/>
        </w:rPr>
        <w:t>自评小组</w:t>
      </w:r>
      <w:r>
        <w:rPr>
          <w:rFonts w:hint="eastAsia" w:ascii="仿宋" w:hAnsi="仿宋" w:eastAsia="仿宋" w:cs="仿宋"/>
          <w:sz w:val="32"/>
          <w:szCs w:val="32"/>
          <w:lang w:eastAsia="zh-CN"/>
        </w:rPr>
        <w:t>统一考核，</w:t>
      </w:r>
      <w:r>
        <w:rPr>
          <w:rFonts w:hint="eastAsia" w:ascii="仿宋_GB2312" w:hAnsi="仿宋_GB2312" w:eastAsia="仿宋_GB2312" w:cs="仿宋_GB2312"/>
          <w:sz w:val="32"/>
          <w:szCs w:val="32"/>
          <w:lang w:val="en-US" w:eastAsia="zh-CN"/>
        </w:rPr>
        <w:t>综合打分</w:t>
      </w:r>
      <w:r>
        <w:rPr>
          <w:rFonts w:hint="eastAsia" w:ascii="仿宋" w:hAnsi="仿宋" w:eastAsia="仿宋" w:cs="仿宋"/>
          <w:sz w:val="32"/>
          <w:szCs w:val="32"/>
          <w:lang w:eastAsia="zh-CN"/>
        </w:rPr>
        <w:t>评价。</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2020年，清河县审计局在市审计局和县委、县政府的坚强领导下，坚持以习近平新时代中国特色社会主义思想为指导，深入贯彻党的十九大和十九届三中、四中、五中全会精神，全面落实习近平总书记重要指示批示，认真落实省委九届十次、十一次全会、市委九届七次、八次全会精神和省委、市委审计委员会会议精神，坚持稳中求进工作总基调和新发展理念，以供给侧结构性改革为主线，依法全面履行审计监督职责，推动稳增长、促改革、调结构、惠民生、防风险、保稳定各项工作，充分发挥审计职能作用，为建设经济强县美丽清河作出积极贡献。10月份，在市局三季度优秀县局、局长评选中取得第一名的好成绩，12月份，被中国审计报社、时代经济出版社评为“2020年度通联工作先进单位”称号，四名干部被授予“先进个人”荣誉称号。</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各项绩效目标的实现程度及差异性原因分析</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eastAsia="zh-CN"/>
        </w:rPr>
        <w:t>圆满完成</w:t>
      </w:r>
      <w:r>
        <w:rPr>
          <w:rFonts w:hint="eastAsia" w:ascii="仿宋" w:hAnsi="仿宋" w:eastAsia="仿宋" w:cs="仿宋"/>
          <w:sz w:val="32"/>
          <w:szCs w:val="32"/>
          <w:lang w:val="en-US" w:eastAsia="zh-CN"/>
        </w:rPr>
        <w:t>清河县审计局所有目标任务</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存在问题、采取的纠偏措施及改进绩效管理建议</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无  </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lang w:eastAsia="zh-CN"/>
        </w:rPr>
        <w:t>六、</w:t>
      </w:r>
      <w:r>
        <w:rPr>
          <w:rFonts w:hint="eastAsia" w:ascii="黑体" w:hAnsi="黑体" w:eastAsia="黑体" w:cs="黑体"/>
          <w:sz w:val="32"/>
          <w:szCs w:val="32"/>
        </w:rPr>
        <w:t>其他需要说明的问题</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无</w:t>
      </w:r>
    </w:p>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清河县审计局</w:t>
      </w:r>
    </w:p>
    <w:p>
      <w:pPr>
        <w:keepNext w:val="0"/>
        <w:keepLines w:val="0"/>
        <w:pageBreakBefore w:val="0"/>
        <w:widowControl w:val="0"/>
        <w:kinsoku/>
        <w:wordWrap/>
        <w:overflowPunct/>
        <w:topLinePunct w:val="0"/>
        <w:autoSpaceDE/>
        <w:autoSpaceDN/>
        <w:bidi w:val="0"/>
        <w:adjustRightInd/>
        <w:snapToGrid/>
        <w:ind w:firstLine="6080" w:firstLineChars="1900"/>
        <w:jc w:val="both"/>
        <w:textAlignment w:val="auto"/>
        <w:outlineLvl w:val="9"/>
        <w:rPr>
          <w:rFonts w:ascii="仿宋" w:hAnsi="仿宋" w:eastAsia="仿宋" w:cs="仿宋"/>
          <w:sz w:val="32"/>
          <w:szCs w:val="32"/>
        </w:rPr>
      </w:pPr>
      <w:r>
        <w:rPr>
          <w:rFonts w:hint="eastAsia" w:ascii="仿宋_GB2312" w:hAnsi="仿宋_GB2312" w:eastAsia="仿宋_GB2312" w:cs="仿宋_GB2312"/>
          <w:sz w:val="32"/>
          <w:szCs w:val="32"/>
          <w:lang w:val="en-US" w:eastAsia="zh-CN"/>
        </w:rPr>
        <w:t>2021年3月24</w:t>
      </w:r>
      <w:bookmarkStart w:id="0" w:name="_GoBack"/>
      <w:bookmarkEnd w:id="0"/>
      <w:r>
        <w:rPr>
          <w:rFonts w:hint="eastAsia" w:ascii="仿宋_GB2312" w:hAnsi="仿宋_GB2312" w:eastAsia="仿宋_GB2312" w:cs="仿宋_GB2312"/>
          <w:sz w:val="32"/>
          <w:szCs w:val="32"/>
          <w:lang w:val="en-US" w:eastAsia="zh-CN"/>
        </w:rPr>
        <w:t>日</w:t>
      </w:r>
    </w:p>
    <w:sectPr>
      <w:footerReference r:id="rId3" w:type="default"/>
      <w:footerReference r:id="rId4" w:type="even"/>
      <w:pgSz w:w="11906" w:h="16838"/>
      <w:pgMar w:top="1985" w:right="1418" w:bottom="1985" w:left="1418" w:header="851" w:footer="1701" w:gutter="0"/>
      <w:cols w:space="425" w:num="1"/>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rFonts w:ascii="宋体" w:hAnsi="宋体" w:eastAsia="宋体"/>
        <w:sz w:val="28"/>
        <w:szCs w:val="28"/>
      </w:rPr>
    </w:pPr>
    <w:r>
      <w:rPr>
        <w:rStyle w:val="10"/>
        <w:rFonts w:hint="eastAsia" w:ascii="宋体" w:hAnsi="宋体" w:eastAsia="宋体"/>
        <w:sz w:val="28"/>
        <w:szCs w:val="28"/>
      </w:rPr>
      <w:t>-</w:t>
    </w:r>
    <w:r>
      <w:rPr>
        <w:rStyle w:val="10"/>
        <w:rFonts w:ascii="宋体" w:hAnsi="宋体" w:eastAsia="宋体"/>
        <w:sz w:val="28"/>
        <w:szCs w:val="28"/>
      </w:rPr>
      <w:fldChar w:fldCharType="begin"/>
    </w:r>
    <w:r>
      <w:rPr>
        <w:rStyle w:val="10"/>
        <w:rFonts w:ascii="宋体" w:hAnsi="宋体" w:eastAsia="宋体"/>
        <w:sz w:val="28"/>
        <w:szCs w:val="28"/>
      </w:rPr>
      <w:instrText xml:space="preserve">PAGE  </w:instrText>
    </w:r>
    <w:r>
      <w:rPr>
        <w:rStyle w:val="10"/>
        <w:rFonts w:ascii="宋体" w:hAnsi="宋体" w:eastAsia="宋体"/>
        <w:sz w:val="28"/>
        <w:szCs w:val="28"/>
      </w:rPr>
      <w:fldChar w:fldCharType="separate"/>
    </w:r>
    <w:r>
      <w:rPr>
        <w:rStyle w:val="10"/>
        <w:rFonts w:ascii="宋体" w:hAnsi="宋体" w:eastAsia="宋体"/>
        <w:sz w:val="28"/>
        <w:szCs w:val="28"/>
      </w:rPr>
      <w:t>1</w:t>
    </w:r>
    <w:r>
      <w:rPr>
        <w:rStyle w:val="10"/>
        <w:rFonts w:ascii="宋体" w:hAnsi="宋体" w:eastAsia="宋体"/>
        <w:sz w:val="28"/>
        <w:szCs w:val="28"/>
      </w:rPr>
      <w:fldChar w:fldCharType="end"/>
    </w:r>
    <w:r>
      <w:rPr>
        <w:rStyle w:val="10"/>
        <w:rFonts w:hint="eastAsia" w:ascii="宋体" w:hAnsi="宋体" w:eastAsia="宋体"/>
        <w:sz w:val="28"/>
        <w:szCs w:val="28"/>
      </w:rPr>
      <w:t>-</w:t>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31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42933"/>
    <w:rsid w:val="00002F2C"/>
    <w:rsid w:val="000070A8"/>
    <w:rsid w:val="00007D94"/>
    <w:rsid w:val="00016CA4"/>
    <w:rsid w:val="000324AE"/>
    <w:rsid w:val="00042933"/>
    <w:rsid w:val="0008033E"/>
    <w:rsid w:val="0008759D"/>
    <w:rsid w:val="00094F2B"/>
    <w:rsid w:val="000B0A83"/>
    <w:rsid w:val="000B6322"/>
    <w:rsid w:val="000C2CC1"/>
    <w:rsid w:val="000E4A5A"/>
    <w:rsid w:val="00103547"/>
    <w:rsid w:val="0017068B"/>
    <w:rsid w:val="00185A3C"/>
    <w:rsid w:val="00192D5A"/>
    <w:rsid w:val="001C59B3"/>
    <w:rsid w:val="001E0886"/>
    <w:rsid w:val="001F7E31"/>
    <w:rsid w:val="002071BC"/>
    <w:rsid w:val="00225AE6"/>
    <w:rsid w:val="00235F0F"/>
    <w:rsid w:val="00255783"/>
    <w:rsid w:val="00290BA1"/>
    <w:rsid w:val="002A6AEA"/>
    <w:rsid w:val="002F2268"/>
    <w:rsid w:val="003C50C2"/>
    <w:rsid w:val="0041099F"/>
    <w:rsid w:val="00436A1D"/>
    <w:rsid w:val="004379D7"/>
    <w:rsid w:val="004A68B1"/>
    <w:rsid w:val="004B64F3"/>
    <w:rsid w:val="004E3B64"/>
    <w:rsid w:val="005020C5"/>
    <w:rsid w:val="00567FE6"/>
    <w:rsid w:val="0058162A"/>
    <w:rsid w:val="005B3616"/>
    <w:rsid w:val="005E12FA"/>
    <w:rsid w:val="006028F4"/>
    <w:rsid w:val="00683167"/>
    <w:rsid w:val="006A5056"/>
    <w:rsid w:val="006E64C9"/>
    <w:rsid w:val="007048FF"/>
    <w:rsid w:val="00712100"/>
    <w:rsid w:val="0071700D"/>
    <w:rsid w:val="00742652"/>
    <w:rsid w:val="00772600"/>
    <w:rsid w:val="007D5D41"/>
    <w:rsid w:val="007F01F9"/>
    <w:rsid w:val="00856BA1"/>
    <w:rsid w:val="00867620"/>
    <w:rsid w:val="008709E0"/>
    <w:rsid w:val="008A6A10"/>
    <w:rsid w:val="008A6A31"/>
    <w:rsid w:val="00904AF4"/>
    <w:rsid w:val="00905542"/>
    <w:rsid w:val="00917700"/>
    <w:rsid w:val="00956F74"/>
    <w:rsid w:val="009B0B5F"/>
    <w:rsid w:val="009C04DA"/>
    <w:rsid w:val="009C4C62"/>
    <w:rsid w:val="009E3627"/>
    <w:rsid w:val="009F53E7"/>
    <w:rsid w:val="00A11BF8"/>
    <w:rsid w:val="00A14A33"/>
    <w:rsid w:val="00A6449D"/>
    <w:rsid w:val="00A768DB"/>
    <w:rsid w:val="00AA09C8"/>
    <w:rsid w:val="00AB1E1F"/>
    <w:rsid w:val="00AD5F30"/>
    <w:rsid w:val="00B0681D"/>
    <w:rsid w:val="00B9023F"/>
    <w:rsid w:val="00BC1FDC"/>
    <w:rsid w:val="00BD0FD8"/>
    <w:rsid w:val="00C44804"/>
    <w:rsid w:val="00C6362A"/>
    <w:rsid w:val="00C81363"/>
    <w:rsid w:val="00CB27A5"/>
    <w:rsid w:val="00CD55ED"/>
    <w:rsid w:val="00CD63C0"/>
    <w:rsid w:val="00CE62A0"/>
    <w:rsid w:val="00D03B85"/>
    <w:rsid w:val="00D21F0C"/>
    <w:rsid w:val="00D366C1"/>
    <w:rsid w:val="00D37E35"/>
    <w:rsid w:val="00D877F7"/>
    <w:rsid w:val="00DB2D43"/>
    <w:rsid w:val="00E266F1"/>
    <w:rsid w:val="00EB16A8"/>
    <w:rsid w:val="00EC7904"/>
    <w:rsid w:val="00F72E93"/>
    <w:rsid w:val="00F87A11"/>
    <w:rsid w:val="00FB53A2"/>
    <w:rsid w:val="00FB7E01"/>
    <w:rsid w:val="00FE5F4C"/>
    <w:rsid w:val="00FF39F6"/>
    <w:rsid w:val="03303ECF"/>
    <w:rsid w:val="05374814"/>
    <w:rsid w:val="083F1C76"/>
    <w:rsid w:val="0F8F6BFC"/>
    <w:rsid w:val="2DEE614C"/>
    <w:rsid w:val="3791647A"/>
    <w:rsid w:val="455969D8"/>
    <w:rsid w:val="48225C2D"/>
    <w:rsid w:val="526A3656"/>
    <w:rsid w:val="547E1650"/>
    <w:rsid w:val="5D643D56"/>
    <w:rsid w:val="69BD0A47"/>
    <w:rsid w:val="71A911C9"/>
    <w:rsid w:val="77A52129"/>
    <w:rsid w:val="7C5C444A"/>
    <w:rsid w:val="7CCC213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spacing w:before="100" w:beforeAutospacing="1" w:after="100" w:afterAutospacing="1"/>
      <w:jc w:val="left"/>
      <w:outlineLvl w:val="0"/>
    </w:pPr>
    <w:rPr>
      <w:rFonts w:hint="eastAsia" w:ascii="宋体" w:hAnsi="宋体" w:eastAsia="宋体" w:cs="宋体"/>
      <w:b/>
      <w:kern w:val="44"/>
      <w:sz w:val="48"/>
      <w:szCs w:val="48"/>
    </w:rPr>
  </w:style>
  <w:style w:type="character" w:default="1" w:styleId="8">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qFormat/>
    <w:uiPriority w:val="99"/>
    <w:pPr>
      <w:autoSpaceDE w:val="0"/>
      <w:autoSpaceDN w:val="0"/>
      <w:adjustRightInd w:val="0"/>
      <w:snapToGrid w:val="0"/>
      <w:spacing w:line="588" w:lineRule="atLeast"/>
    </w:pPr>
    <w:rPr>
      <w:rFonts w:ascii="宋体" w:hAnsi="宋体" w:eastAsia="仿宋_GB2312"/>
      <w:spacing w:val="-2"/>
      <w:sz w:val="32"/>
      <w:szCs w:val="24"/>
    </w:rPr>
  </w:style>
  <w:style w:type="paragraph" w:styleId="4">
    <w:name w:val="Plain Text"/>
    <w:basedOn w:val="1"/>
    <w:link w:val="14"/>
    <w:qFormat/>
    <w:uiPriority w:val="0"/>
    <w:rPr>
      <w:rFonts w:ascii="宋体" w:hAnsi="Courier New" w:eastAsia="宋体" w:cs="Courier New"/>
      <w:szCs w:val="21"/>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page number"/>
    <w:basedOn w:val="8"/>
    <w:semiHidden/>
    <w:unhideWhenUsed/>
    <w:qFormat/>
    <w:uiPriority w:val="99"/>
  </w:style>
  <w:style w:type="character" w:customStyle="1" w:styleId="12">
    <w:name w:val="页眉 Char"/>
    <w:basedOn w:val="8"/>
    <w:link w:val="6"/>
    <w:qFormat/>
    <w:uiPriority w:val="99"/>
    <w:rPr>
      <w:sz w:val="18"/>
      <w:szCs w:val="18"/>
    </w:rPr>
  </w:style>
  <w:style w:type="character" w:customStyle="1" w:styleId="13">
    <w:name w:val="页脚 Char"/>
    <w:basedOn w:val="8"/>
    <w:link w:val="5"/>
    <w:qFormat/>
    <w:uiPriority w:val="99"/>
    <w:rPr>
      <w:sz w:val="18"/>
      <w:szCs w:val="18"/>
    </w:rPr>
  </w:style>
  <w:style w:type="character" w:customStyle="1" w:styleId="14">
    <w:name w:val="纯文本 Char"/>
    <w:basedOn w:val="8"/>
    <w:link w:val="4"/>
    <w:qFormat/>
    <w:uiPriority w:val="0"/>
    <w:rPr>
      <w:rFonts w:ascii="宋体" w:hAnsi="Courier New" w:eastAsia="宋体" w:cs="Courier New"/>
      <w:szCs w:val="21"/>
    </w:rPr>
  </w:style>
  <w:style w:type="character" w:customStyle="1" w:styleId="15">
    <w:name w:val="标题 1 Char"/>
    <w:basedOn w:val="8"/>
    <w:link w:val="2"/>
    <w:qFormat/>
    <w:uiPriority w:val="9"/>
    <w:rPr>
      <w:rFonts w:ascii="宋体" w:hAnsi="宋体" w:eastAsia="宋体" w:cs="宋体"/>
      <w:b/>
      <w:kern w:val="44"/>
      <w:sz w:val="48"/>
      <w:szCs w:val="48"/>
    </w:rPr>
  </w:style>
  <w:style w:type="character" w:customStyle="1" w:styleId="16">
    <w:name w:val="font31"/>
    <w:basedOn w:val="8"/>
    <w:qFormat/>
    <w:uiPriority w:val="0"/>
    <w:rPr>
      <w:rFonts w:hint="eastAsia" w:ascii="宋体" w:hAnsi="宋体" w:eastAsia="宋体" w:cs="宋体"/>
      <w:b/>
      <w:color w:val="000000"/>
      <w:sz w:val="36"/>
      <w:szCs w:val="36"/>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833</Words>
  <Characters>4749</Characters>
  <Lines>39</Lines>
  <Paragraphs>11</Paragraphs>
  <TotalTime>9</TotalTime>
  <ScaleCrop>false</ScaleCrop>
  <LinksUpToDate>false</LinksUpToDate>
  <CharactersWithSpaces>5571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2016-02-22T07:07:00Z</dcterms:created>
  <dc:creator>Administrator</dc:creator>
  <cp:lastModifiedBy>lenovo</cp:lastModifiedBy>
  <cp:lastPrinted>2018-11-29T03:23:00Z</cp:lastPrinted>
  <dcterms:modified xsi:type="dcterms:W3CDTF">2021-03-24T07:42:31Z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